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11C80" w14:textId="7326A825" w:rsidR="0003017C" w:rsidRPr="00AE2F3C" w:rsidRDefault="00AE2F3C" w:rsidP="00C82377">
      <w:pPr>
        <w:spacing w:after="120" w:line="312" w:lineRule="auto"/>
        <w:rPr>
          <w:rFonts w:ascii="Bosch Office Sans" w:hAnsi="Bosch Office Sans"/>
        </w:rPr>
      </w:pPr>
      <w:r w:rsidRPr="00AE0C22">
        <w:rPr>
          <w:rFonts w:ascii="Bosch Office Sans" w:hAnsi="Bosch Office Sans"/>
        </w:rPr>
        <w:t>Excelerate Worcester Installer Extended Guarantee</w:t>
      </w:r>
      <w:r w:rsidR="004B7748" w:rsidRPr="00AE0C22">
        <w:rPr>
          <w:rFonts w:ascii="Bosch Office Sans" w:hAnsi="Bosch Office Sans"/>
        </w:rPr>
        <w:t xml:space="preserve"> </w:t>
      </w:r>
      <w:r w:rsidR="00686211" w:rsidRPr="00AE0C22">
        <w:rPr>
          <w:rFonts w:ascii="Bosch Office Sans" w:hAnsi="Bosch Office Sans"/>
        </w:rPr>
        <w:t>Promotion</w:t>
      </w:r>
      <w:r w:rsidR="0003017C" w:rsidRPr="00AE2F3C">
        <w:rPr>
          <w:rFonts w:ascii="Bosch Office Sans" w:hAnsi="Bosch Office Sans"/>
        </w:rPr>
        <w:t xml:space="preserve"> </w:t>
      </w:r>
      <w:r w:rsidR="008D567A" w:rsidRPr="00AE2F3C">
        <w:rPr>
          <w:rFonts w:ascii="Bosch Office Sans" w:hAnsi="Bosch Office Sans"/>
        </w:rPr>
        <w:t>(the “</w:t>
      </w:r>
      <w:r w:rsidR="008D567A" w:rsidRPr="00AE2F3C">
        <w:rPr>
          <w:rFonts w:ascii="Bosch Office Sans" w:hAnsi="Bosch Office Sans"/>
          <w:b/>
        </w:rPr>
        <w:t>Promotion</w:t>
      </w:r>
      <w:r w:rsidR="008D567A" w:rsidRPr="00AE2F3C">
        <w:rPr>
          <w:rFonts w:ascii="Bosch Office Sans" w:hAnsi="Bosch Office Sans"/>
        </w:rPr>
        <w:t xml:space="preserve">”) </w:t>
      </w:r>
      <w:r w:rsidR="0003017C" w:rsidRPr="00AE2F3C">
        <w:rPr>
          <w:rFonts w:ascii="Bosch Office Sans" w:hAnsi="Bosch Office Sans"/>
        </w:rPr>
        <w:t>- Terms and Conditions</w:t>
      </w:r>
    </w:p>
    <w:p w14:paraId="038F2668" w14:textId="77777777" w:rsidR="0003017C" w:rsidRPr="00AE2F3C" w:rsidRDefault="0003017C" w:rsidP="00C82377">
      <w:pPr>
        <w:spacing w:after="120" w:line="312" w:lineRule="auto"/>
        <w:rPr>
          <w:rFonts w:ascii="Bosch Office Sans" w:hAnsi="Bosch Office Sans"/>
        </w:rPr>
      </w:pPr>
    </w:p>
    <w:p w14:paraId="25C11755" w14:textId="11CA2AB8" w:rsidR="0003017C" w:rsidRPr="00AE2F3C" w:rsidRDefault="0003017C" w:rsidP="00C82377">
      <w:pPr>
        <w:pStyle w:val="ListParagraph"/>
        <w:numPr>
          <w:ilvl w:val="0"/>
          <w:numId w:val="1"/>
        </w:numPr>
        <w:spacing w:after="120" w:line="312" w:lineRule="auto"/>
        <w:rPr>
          <w:rFonts w:ascii="Bosch Office Sans" w:hAnsi="Bosch Office Sans"/>
        </w:rPr>
      </w:pPr>
      <w:r w:rsidRPr="00AE2F3C">
        <w:rPr>
          <w:rFonts w:ascii="Bosch Office Sans" w:hAnsi="Bosch Office Sans"/>
        </w:rPr>
        <w:t>By entering the Promotion, entra</w:t>
      </w:r>
      <w:r w:rsidR="008D567A" w:rsidRPr="00AE2F3C">
        <w:rPr>
          <w:rFonts w:ascii="Bosch Office Sans" w:hAnsi="Bosch Office Sans"/>
        </w:rPr>
        <w:t>nts agree to be bound by these t</w:t>
      </w:r>
      <w:r w:rsidRPr="00AE2F3C">
        <w:rPr>
          <w:rFonts w:ascii="Bosch Office Sans" w:hAnsi="Bosch Office Sans"/>
        </w:rPr>
        <w:t xml:space="preserve">erms </w:t>
      </w:r>
      <w:r w:rsidR="008D567A" w:rsidRPr="00AE2F3C">
        <w:rPr>
          <w:rFonts w:ascii="Bosch Office Sans" w:hAnsi="Bosch Office Sans"/>
        </w:rPr>
        <w:t>and c</w:t>
      </w:r>
      <w:r w:rsidRPr="00AE2F3C">
        <w:rPr>
          <w:rFonts w:ascii="Bosch Office Sans" w:hAnsi="Bosch Office Sans"/>
        </w:rPr>
        <w:t>onditions</w:t>
      </w:r>
      <w:r w:rsidR="008D567A" w:rsidRPr="00AE2F3C">
        <w:rPr>
          <w:rFonts w:ascii="Bosch Office Sans" w:hAnsi="Bosch Office Sans"/>
        </w:rPr>
        <w:t xml:space="preserve"> </w:t>
      </w:r>
      <w:r w:rsidR="005A0B11" w:rsidRPr="00AE2F3C">
        <w:rPr>
          <w:rFonts w:ascii="Bosch Office Sans" w:hAnsi="Bosch Office Sans"/>
        </w:rPr>
        <w:t>(</w:t>
      </w:r>
      <w:r w:rsidR="008D567A" w:rsidRPr="00AE2F3C">
        <w:rPr>
          <w:rFonts w:ascii="Bosch Office Sans" w:hAnsi="Bosch Office Sans"/>
        </w:rPr>
        <w:t xml:space="preserve">the </w:t>
      </w:r>
      <w:r w:rsidR="005A0B11" w:rsidRPr="00AE2F3C">
        <w:rPr>
          <w:rFonts w:ascii="Bosch Office Sans" w:hAnsi="Bosch Office Sans"/>
        </w:rPr>
        <w:t>“</w:t>
      </w:r>
      <w:r w:rsidR="005A0B11" w:rsidRPr="00AE2F3C">
        <w:rPr>
          <w:rFonts w:ascii="Bosch Office Sans" w:hAnsi="Bosch Office Sans"/>
          <w:b/>
        </w:rPr>
        <w:t>Terms</w:t>
      </w:r>
      <w:r w:rsidR="005A0B11" w:rsidRPr="00AE2F3C">
        <w:rPr>
          <w:rFonts w:ascii="Bosch Office Sans" w:hAnsi="Bosch Office Sans"/>
        </w:rPr>
        <w:t>”)</w:t>
      </w:r>
      <w:r w:rsidRPr="00AE2F3C">
        <w:rPr>
          <w:rFonts w:ascii="Bosch Office Sans" w:hAnsi="Bosch Office Sans"/>
        </w:rPr>
        <w:t>.</w:t>
      </w:r>
      <w:r w:rsidR="00E040D7" w:rsidRPr="00AE2F3C">
        <w:rPr>
          <w:rFonts w:ascii="Bosch Office Sans" w:hAnsi="Bosch Office Sans"/>
        </w:rPr>
        <w:t xml:space="preserve"> </w:t>
      </w:r>
    </w:p>
    <w:p w14:paraId="0280D629" w14:textId="77777777" w:rsidR="00C82377" w:rsidRPr="00AE2F3C" w:rsidRDefault="00C82377" w:rsidP="00C82377">
      <w:pPr>
        <w:pStyle w:val="ListParagraph"/>
        <w:spacing w:after="120" w:line="312" w:lineRule="auto"/>
        <w:rPr>
          <w:rFonts w:ascii="Bosch Office Sans" w:hAnsi="Bosch Office Sans"/>
        </w:rPr>
      </w:pPr>
    </w:p>
    <w:p w14:paraId="1B1FF396" w14:textId="26D57008" w:rsidR="0003017C" w:rsidRPr="00AE2F3C" w:rsidRDefault="00C82377" w:rsidP="006F721E">
      <w:pPr>
        <w:pStyle w:val="ListParagraph"/>
        <w:numPr>
          <w:ilvl w:val="0"/>
          <w:numId w:val="1"/>
        </w:numPr>
        <w:spacing w:after="120" w:line="312" w:lineRule="auto"/>
        <w:rPr>
          <w:rFonts w:ascii="Bosch Office Sans" w:hAnsi="Bosch Office Sans"/>
        </w:rPr>
      </w:pPr>
      <w:r w:rsidRPr="00AE2F3C">
        <w:rPr>
          <w:rFonts w:ascii="Bosch Office Sans" w:hAnsi="Bosch Office Sans"/>
        </w:rPr>
        <w:t>T</w:t>
      </w:r>
      <w:r w:rsidR="0003017C" w:rsidRPr="00AE2F3C">
        <w:rPr>
          <w:rFonts w:ascii="Bosch Office Sans" w:hAnsi="Bosch Office Sans"/>
        </w:rPr>
        <w:t xml:space="preserve">he promoter is Bosch Thermotechnology Limited, a company incorporated in England </w:t>
      </w:r>
      <w:r w:rsidR="00686211" w:rsidRPr="00AE2F3C">
        <w:rPr>
          <w:rFonts w:ascii="Bosch Office Sans" w:hAnsi="Bosch Office Sans"/>
        </w:rPr>
        <w:t xml:space="preserve">and Wales </w:t>
      </w:r>
      <w:r w:rsidR="0003017C" w:rsidRPr="00AE2F3C">
        <w:rPr>
          <w:rFonts w:ascii="Bosch Office Sans" w:hAnsi="Bosch Office Sans"/>
        </w:rPr>
        <w:t>with company number 01993294, whose registered office address is Cotswold Way, Warndon, Worcester, WR4 9SW, United Kingdom (“</w:t>
      </w:r>
      <w:r w:rsidR="0003017C" w:rsidRPr="00AE2F3C">
        <w:rPr>
          <w:rFonts w:ascii="Bosch Office Sans" w:hAnsi="Bosch Office Sans"/>
          <w:b/>
        </w:rPr>
        <w:t>Promoter</w:t>
      </w:r>
      <w:r w:rsidR="0003017C" w:rsidRPr="00AE2F3C">
        <w:rPr>
          <w:rFonts w:ascii="Bosch Office Sans" w:hAnsi="Bosch Office Sans"/>
        </w:rPr>
        <w:t>”).</w:t>
      </w:r>
    </w:p>
    <w:p w14:paraId="3FC790D6" w14:textId="77777777" w:rsidR="00C82377" w:rsidRPr="00AE2F3C" w:rsidRDefault="00C82377" w:rsidP="00C82377">
      <w:pPr>
        <w:pStyle w:val="ListParagraph"/>
        <w:rPr>
          <w:rFonts w:ascii="Bosch Office Sans" w:hAnsi="Bosch Office Sans"/>
        </w:rPr>
      </w:pPr>
    </w:p>
    <w:p w14:paraId="44E37741" w14:textId="0572B4CD" w:rsidR="00AE2F3C" w:rsidRPr="00AE2F3C" w:rsidRDefault="00AE2F3C" w:rsidP="00AE2F3C">
      <w:pPr>
        <w:pStyle w:val="ListParagraph"/>
        <w:numPr>
          <w:ilvl w:val="0"/>
          <w:numId w:val="1"/>
        </w:numPr>
        <w:spacing w:after="120" w:line="312" w:lineRule="auto"/>
        <w:rPr>
          <w:rFonts w:ascii="Bosch Office Sans" w:hAnsi="Bosch Office Sans"/>
        </w:rPr>
      </w:pPr>
      <w:r w:rsidRPr="00AE2F3C">
        <w:rPr>
          <w:rFonts w:ascii="Bosch Office Sans" w:hAnsi="Bosch Office Sans"/>
        </w:rPr>
        <w:t>The Promotion will commence at 00:01 (GMT) on 1</w:t>
      </w:r>
      <w:r w:rsidR="00E76381">
        <w:rPr>
          <w:rFonts w:ascii="Bosch Office Sans" w:hAnsi="Bosch Office Sans"/>
        </w:rPr>
        <w:t xml:space="preserve"> </w:t>
      </w:r>
      <w:r w:rsidRPr="00AE2F3C">
        <w:rPr>
          <w:rFonts w:ascii="Bosch Office Sans" w:hAnsi="Bosch Office Sans"/>
        </w:rPr>
        <w:t>January 202</w:t>
      </w:r>
      <w:r w:rsidR="00784D13">
        <w:rPr>
          <w:rFonts w:ascii="Bosch Office Sans" w:hAnsi="Bosch Office Sans"/>
        </w:rPr>
        <w:t>4</w:t>
      </w:r>
      <w:r w:rsidRPr="00AE2F3C">
        <w:rPr>
          <w:rFonts w:ascii="Bosch Office Sans" w:hAnsi="Bosch Office Sans"/>
        </w:rPr>
        <w:t>.  The closing date for receipt of entries is 23:59 (GMT) on 31 December 202</w:t>
      </w:r>
      <w:r w:rsidR="00784D13">
        <w:rPr>
          <w:rFonts w:ascii="Bosch Office Sans" w:hAnsi="Bosch Office Sans"/>
        </w:rPr>
        <w:t>4</w:t>
      </w:r>
      <w:r w:rsidRPr="00AE2F3C">
        <w:rPr>
          <w:rFonts w:ascii="Bosch Office Sans" w:hAnsi="Bosch Office Sans"/>
        </w:rPr>
        <w:t xml:space="preserve"> (“</w:t>
      </w:r>
      <w:r w:rsidRPr="00AE0C22">
        <w:rPr>
          <w:rFonts w:ascii="Bosch Office Sans" w:hAnsi="Bosch Office Sans"/>
          <w:b/>
          <w:bCs/>
        </w:rPr>
        <w:t>Closing Date</w:t>
      </w:r>
      <w:r w:rsidRPr="00AE2F3C">
        <w:rPr>
          <w:rFonts w:ascii="Bosch Office Sans" w:hAnsi="Bosch Office Sans"/>
        </w:rPr>
        <w:t>”).</w:t>
      </w:r>
    </w:p>
    <w:p w14:paraId="2EFB8E8D" w14:textId="77777777" w:rsidR="00C82377" w:rsidRPr="00AE2F3C" w:rsidRDefault="00C82377" w:rsidP="00C82377">
      <w:pPr>
        <w:pStyle w:val="ListParagraph"/>
        <w:rPr>
          <w:rFonts w:ascii="Bosch Office Sans" w:hAnsi="Bosch Office Sans"/>
        </w:rPr>
      </w:pPr>
    </w:p>
    <w:p w14:paraId="62D53FA1" w14:textId="729238A6" w:rsidR="00AE2F3C" w:rsidRDefault="00AE2F3C" w:rsidP="00AE2F3C">
      <w:pPr>
        <w:pStyle w:val="ListParagraph"/>
        <w:numPr>
          <w:ilvl w:val="0"/>
          <w:numId w:val="1"/>
        </w:numPr>
        <w:spacing w:after="120" w:line="312" w:lineRule="auto"/>
        <w:rPr>
          <w:rFonts w:ascii="Bosch Office Sans" w:hAnsi="Bosch Office Sans"/>
        </w:rPr>
      </w:pPr>
      <w:r w:rsidRPr="00C743B0" w:rsidDel="008A6694">
        <w:rPr>
          <w:rFonts w:ascii="Bosch Office Sans" w:hAnsi="Bosch Office Sans"/>
        </w:rPr>
        <w:t xml:space="preserve">The </w:t>
      </w:r>
      <w:r w:rsidRPr="001D7AD7" w:rsidDel="008A6694">
        <w:rPr>
          <w:rFonts w:ascii="Bosch Office Sans" w:hAnsi="Bosch Office Sans"/>
        </w:rPr>
        <w:t xml:space="preserve">Promotion is open to </w:t>
      </w:r>
      <w:r>
        <w:rPr>
          <w:rFonts w:ascii="Bosch Office Sans" w:hAnsi="Bosch Office Sans"/>
        </w:rPr>
        <w:t xml:space="preserve">individuals aged 18 and over who </w:t>
      </w:r>
      <w:proofErr w:type="gramStart"/>
      <w:r>
        <w:rPr>
          <w:rFonts w:ascii="Bosch Office Sans" w:hAnsi="Bosch Office Sans"/>
        </w:rPr>
        <w:t>are</w:t>
      </w:r>
      <w:proofErr w:type="gramEnd"/>
      <w:r>
        <w:rPr>
          <w:rFonts w:ascii="Bosch Office Sans" w:hAnsi="Bosch Office Sans"/>
        </w:rPr>
        <w:t xml:space="preserve"> </w:t>
      </w:r>
    </w:p>
    <w:p w14:paraId="29F6ED37" w14:textId="77777777" w:rsidR="00AE2F3C" w:rsidRDefault="00AE2F3C" w:rsidP="00AE2F3C">
      <w:pPr>
        <w:pStyle w:val="ListParagraph"/>
        <w:numPr>
          <w:ilvl w:val="1"/>
          <w:numId w:val="1"/>
        </w:numPr>
        <w:spacing w:after="120" w:line="312" w:lineRule="auto"/>
        <w:rPr>
          <w:rFonts w:ascii="Bosch Office Sans" w:hAnsi="Bosch Office Sans"/>
        </w:rPr>
      </w:pPr>
      <w:r>
        <w:rPr>
          <w:rFonts w:ascii="Bosch Office Sans" w:hAnsi="Bosch Office Sans"/>
        </w:rPr>
        <w:t>resident</w:t>
      </w:r>
      <w:r w:rsidRPr="001D7AD7">
        <w:rPr>
          <w:rFonts w:ascii="Bosch Office Sans" w:hAnsi="Bosch Office Sans"/>
        </w:rPr>
        <w:t xml:space="preserve"> in the United Kingdom or the Republic of Ireland</w:t>
      </w:r>
      <w:r>
        <w:rPr>
          <w:rFonts w:ascii="Bosch Office Sans" w:hAnsi="Bosch Office Sans"/>
        </w:rPr>
        <w:t xml:space="preserve">; and </w:t>
      </w:r>
    </w:p>
    <w:p w14:paraId="00F715C6" w14:textId="77777777" w:rsidR="00AE2F3C" w:rsidRDefault="00AE2F3C" w:rsidP="00AE2F3C">
      <w:pPr>
        <w:pStyle w:val="ListParagraph"/>
        <w:numPr>
          <w:ilvl w:val="1"/>
          <w:numId w:val="1"/>
        </w:numPr>
        <w:spacing w:after="120" w:line="312" w:lineRule="auto"/>
        <w:rPr>
          <w:rFonts w:ascii="Bosch Office Sans" w:hAnsi="Bosch Office Sans"/>
        </w:rPr>
      </w:pPr>
      <w:r>
        <w:rPr>
          <w:rFonts w:ascii="Bosch Office Sans" w:hAnsi="Bosch Office Sans"/>
        </w:rPr>
        <w:t>are Gas Safe or OFTEC R</w:t>
      </w:r>
      <w:r w:rsidRPr="001D7AD7">
        <w:rPr>
          <w:rFonts w:ascii="Bosch Office Sans" w:hAnsi="Bosch Office Sans"/>
        </w:rPr>
        <w:t>egistered</w:t>
      </w:r>
      <w:r>
        <w:rPr>
          <w:rFonts w:ascii="Bosch Office Sans" w:hAnsi="Bosch Office Sans"/>
        </w:rPr>
        <w:t xml:space="preserve"> (in the United Kingdom) or registered with R.G.I. or OFTEC (in the Republic of Ireland); and</w:t>
      </w:r>
    </w:p>
    <w:p w14:paraId="220B08A6" w14:textId="578E77E9" w:rsidR="00AE2F3C" w:rsidRPr="001958F7" w:rsidRDefault="00AE2F3C" w:rsidP="00AE2F3C">
      <w:pPr>
        <w:pStyle w:val="ListParagraph"/>
        <w:numPr>
          <w:ilvl w:val="1"/>
          <w:numId w:val="1"/>
        </w:numPr>
        <w:spacing w:after="120" w:line="312" w:lineRule="auto"/>
        <w:rPr>
          <w:rFonts w:ascii="Bosch Office Sans" w:hAnsi="Bosch Office Sans"/>
        </w:rPr>
      </w:pPr>
      <w:r>
        <w:rPr>
          <w:rFonts w:ascii="Bosch Office Sans" w:hAnsi="Bosch Office Sans"/>
        </w:rPr>
        <w:t>are members of the Promoter’s Excelerate loyalty scheme at the ‘Worcester Installer’ level (“</w:t>
      </w:r>
      <w:r w:rsidRPr="00E857DD">
        <w:rPr>
          <w:rFonts w:ascii="Bosch Office Sans" w:hAnsi="Bosch Office Sans"/>
          <w:b/>
          <w:bCs/>
        </w:rPr>
        <w:t>Excelerate</w:t>
      </w:r>
      <w:r>
        <w:rPr>
          <w:rFonts w:ascii="Bosch Office Sans" w:hAnsi="Bosch Office Sans"/>
        </w:rPr>
        <w:t>”),</w:t>
      </w:r>
    </w:p>
    <w:p w14:paraId="1C57993B" w14:textId="77777777" w:rsidR="00AE2F3C" w:rsidRDefault="00AE2F3C" w:rsidP="00AE2F3C">
      <w:pPr>
        <w:spacing w:after="120" w:line="312" w:lineRule="auto"/>
        <w:ind w:left="1080"/>
        <w:rPr>
          <w:rFonts w:ascii="Bosch Office Sans" w:hAnsi="Bosch Office Sans"/>
        </w:rPr>
      </w:pPr>
      <w:r w:rsidRPr="006B10E3" w:rsidDel="008A6694">
        <w:rPr>
          <w:rFonts w:ascii="Bosch Office Sans" w:hAnsi="Bosch Office Sans"/>
        </w:rPr>
        <w:t>(“</w:t>
      </w:r>
      <w:r w:rsidRPr="006B10E3" w:rsidDel="008A6694">
        <w:rPr>
          <w:rFonts w:ascii="Bosch Office Sans" w:hAnsi="Bosch Office Sans"/>
          <w:b/>
        </w:rPr>
        <w:t>Eligible Participant</w:t>
      </w:r>
      <w:r w:rsidRPr="006B10E3" w:rsidDel="008A6694">
        <w:rPr>
          <w:rFonts w:ascii="Bosch Office Sans" w:hAnsi="Bosch Office Sans"/>
        </w:rPr>
        <w:t>”</w:t>
      </w:r>
      <w:r>
        <w:rPr>
          <w:rFonts w:ascii="Bosch Office Sans" w:hAnsi="Bosch Office Sans"/>
        </w:rPr>
        <w:t>, “</w:t>
      </w:r>
      <w:r w:rsidRPr="00E857DD">
        <w:rPr>
          <w:rFonts w:ascii="Bosch Office Sans" w:hAnsi="Bosch Office Sans"/>
          <w:b/>
          <w:bCs/>
        </w:rPr>
        <w:t>You</w:t>
      </w:r>
      <w:r>
        <w:rPr>
          <w:rFonts w:ascii="Bosch Office Sans" w:hAnsi="Bosch Office Sans"/>
        </w:rPr>
        <w:t>”, “</w:t>
      </w:r>
      <w:r w:rsidRPr="00E857DD">
        <w:rPr>
          <w:rFonts w:ascii="Bosch Office Sans" w:hAnsi="Bosch Office Sans"/>
          <w:b/>
          <w:bCs/>
        </w:rPr>
        <w:t>Your</w:t>
      </w:r>
      <w:r>
        <w:rPr>
          <w:rFonts w:ascii="Bosch Office Sans" w:hAnsi="Bosch Office Sans"/>
        </w:rPr>
        <w:t>”</w:t>
      </w:r>
      <w:r w:rsidRPr="006B10E3" w:rsidDel="008A6694">
        <w:rPr>
          <w:rFonts w:ascii="Bosch Office Sans" w:hAnsi="Bosch Office Sans"/>
        </w:rPr>
        <w:t>)</w:t>
      </w:r>
      <w:r w:rsidRPr="006B10E3">
        <w:rPr>
          <w:rFonts w:ascii="Bosch Office Sans" w:hAnsi="Bosch Office Sans"/>
        </w:rPr>
        <w:t xml:space="preserve">. </w:t>
      </w:r>
    </w:p>
    <w:p w14:paraId="679E3201" w14:textId="77777777" w:rsidR="00AE2F3C" w:rsidRPr="008E462A" w:rsidRDefault="00AE2F3C" w:rsidP="00AE2F3C">
      <w:pPr>
        <w:spacing w:after="0" w:line="312" w:lineRule="auto"/>
        <w:ind w:left="1077"/>
        <w:rPr>
          <w:rFonts w:ascii="Bosch Office Sans" w:hAnsi="Bosch Office Sans"/>
        </w:rPr>
      </w:pPr>
      <w:r w:rsidRPr="006B10E3">
        <w:rPr>
          <w:rFonts w:ascii="Bosch Office Sans" w:hAnsi="Bosch Office Sans"/>
        </w:rPr>
        <w:t>Employees of the Promoter, or of any other company within the Bosch group of companies (including BSH Home Appliances Limited), and their immediate family members, Bosch’s agents or their employees, or any person professionally associated with this Promotion (or members of their family or household), are excluded from the Promotion.</w:t>
      </w:r>
    </w:p>
    <w:p w14:paraId="0A9E72E8" w14:textId="77777777" w:rsidR="00C82377" w:rsidRPr="00C82377" w:rsidRDefault="00C82377" w:rsidP="00C82377">
      <w:pPr>
        <w:pStyle w:val="ListParagraph"/>
        <w:rPr>
          <w:rFonts w:ascii="Bosch Office Sans" w:hAnsi="Bosch Office Sans"/>
        </w:rPr>
      </w:pPr>
    </w:p>
    <w:p w14:paraId="0AA2D7B9" w14:textId="77777777" w:rsidR="00AE2F3C" w:rsidRDefault="00AE2F3C" w:rsidP="00AE2F3C">
      <w:pPr>
        <w:pStyle w:val="ListParagraph"/>
        <w:numPr>
          <w:ilvl w:val="0"/>
          <w:numId w:val="1"/>
        </w:numPr>
        <w:spacing w:after="120" w:line="312" w:lineRule="auto"/>
        <w:rPr>
          <w:rFonts w:ascii="Bosch Office Sans" w:hAnsi="Bosch Office Sans"/>
        </w:rPr>
      </w:pPr>
      <w:r>
        <w:rPr>
          <w:rFonts w:ascii="Bosch Office Sans" w:hAnsi="Bosch Office Sans"/>
        </w:rPr>
        <w:t xml:space="preserve">The Promoter assumes that by entering the Promotion (and the Participant warrants that) the participant is aged 18 or over. </w:t>
      </w:r>
      <w:r w:rsidRPr="00C82377">
        <w:rPr>
          <w:rFonts w:ascii="Bosch Office Sans" w:hAnsi="Bosch Office Sans"/>
        </w:rPr>
        <w:t xml:space="preserve">Participants entering the Promotion as an employee of an organisation </w:t>
      </w:r>
      <w:r>
        <w:rPr>
          <w:rFonts w:ascii="Bosch Office Sans" w:hAnsi="Bosch Office Sans"/>
        </w:rPr>
        <w:t>must</w:t>
      </w:r>
      <w:r w:rsidRPr="00C82377">
        <w:rPr>
          <w:rFonts w:ascii="Bosch Office Sans" w:hAnsi="Bosch Office Sans"/>
        </w:rPr>
        <w:t xml:space="preserve"> (i) inform their employer about the Promotion, and (ii) obtain the permission of their employer to enter the Promotion.</w:t>
      </w:r>
    </w:p>
    <w:p w14:paraId="504FEF66" w14:textId="77777777" w:rsidR="00C82377" w:rsidRPr="00C82377" w:rsidRDefault="00C82377" w:rsidP="00C82377">
      <w:pPr>
        <w:pStyle w:val="ListParagraph"/>
        <w:rPr>
          <w:rFonts w:ascii="Bosch Office Sans" w:hAnsi="Bosch Office Sans"/>
        </w:rPr>
      </w:pPr>
    </w:p>
    <w:p w14:paraId="3C2A51A7" w14:textId="448A36CE" w:rsidR="00E040D7" w:rsidRDefault="00770C2F" w:rsidP="00C82377">
      <w:pPr>
        <w:spacing w:after="120" w:line="312" w:lineRule="auto"/>
        <w:rPr>
          <w:rFonts w:ascii="Bosch Office Sans" w:hAnsi="Bosch Office Sans"/>
        </w:rPr>
      </w:pPr>
      <w:r w:rsidRPr="00C82377">
        <w:rPr>
          <w:rFonts w:ascii="Bosch Office Sans" w:hAnsi="Bosch Office Sans"/>
          <w:u w:val="single"/>
        </w:rPr>
        <w:t>Entry</w:t>
      </w:r>
      <w:r w:rsidR="00223FC0">
        <w:rPr>
          <w:rFonts w:ascii="Bosch Office Sans" w:hAnsi="Bosch Office Sans"/>
        </w:rPr>
        <w:t>:</w:t>
      </w:r>
    </w:p>
    <w:p w14:paraId="7E865BD8" w14:textId="22120401" w:rsidR="00123FA8" w:rsidRDefault="00C743B0" w:rsidP="008D567A">
      <w:pPr>
        <w:pStyle w:val="ListParagraph"/>
        <w:numPr>
          <w:ilvl w:val="0"/>
          <w:numId w:val="1"/>
        </w:numPr>
        <w:spacing w:after="120" w:line="312" w:lineRule="auto"/>
        <w:rPr>
          <w:rFonts w:ascii="Bosch Office Sans" w:hAnsi="Bosch Office Sans"/>
        </w:rPr>
      </w:pPr>
      <w:r w:rsidRPr="008D567A">
        <w:rPr>
          <w:rFonts w:ascii="Bosch Office Sans" w:hAnsi="Bosch Office Sans"/>
        </w:rPr>
        <w:t xml:space="preserve">An </w:t>
      </w:r>
      <w:r w:rsidR="00213DAA" w:rsidRPr="008D567A">
        <w:rPr>
          <w:rFonts w:ascii="Bosch Office Sans" w:hAnsi="Bosch Office Sans"/>
        </w:rPr>
        <w:t>Eligible Participant</w:t>
      </w:r>
      <w:r w:rsidRPr="008D567A">
        <w:rPr>
          <w:rFonts w:ascii="Bosch Office Sans" w:hAnsi="Bosch Office Sans"/>
        </w:rPr>
        <w:t xml:space="preserve"> will </w:t>
      </w:r>
      <w:r w:rsidR="00123FA8">
        <w:rPr>
          <w:rFonts w:ascii="Bosch Office Sans" w:hAnsi="Bosch Office Sans"/>
        </w:rPr>
        <w:t>receive</w:t>
      </w:r>
      <w:r w:rsidR="00AE0C22">
        <w:rPr>
          <w:rFonts w:ascii="Bosch Office Sans" w:hAnsi="Bosch Office Sans"/>
        </w:rPr>
        <w:t xml:space="preserve"> an extended product guarantee for the period set out in column three of the table annexed to these Terms</w:t>
      </w:r>
      <w:r w:rsidR="00123FA8">
        <w:rPr>
          <w:rFonts w:ascii="Bosch Office Sans" w:hAnsi="Bosch Office Sans"/>
        </w:rPr>
        <w:t xml:space="preserve"> (the “</w:t>
      </w:r>
      <w:r w:rsidR="00AE2F3C">
        <w:rPr>
          <w:rFonts w:ascii="Bosch Office Sans" w:hAnsi="Bosch Office Sans"/>
          <w:b/>
        </w:rPr>
        <w:t>Extended Guarantee</w:t>
      </w:r>
      <w:r w:rsidR="00123FA8">
        <w:rPr>
          <w:rFonts w:ascii="Bosch Office Sans" w:hAnsi="Bosch Office Sans"/>
        </w:rPr>
        <w:t>”) if they, before expiry of the Closing Date</w:t>
      </w:r>
      <w:r w:rsidR="00AE0C22">
        <w:rPr>
          <w:rFonts w:ascii="Bosch Office Sans" w:hAnsi="Bosch Office Sans"/>
        </w:rPr>
        <w:t>:</w:t>
      </w:r>
    </w:p>
    <w:p w14:paraId="6EB52967" w14:textId="209FE6FF" w:rsidR="00AE0C22" w:rsidRDefault="00AE0C22" w:rsidP="00123FA8">
      <w:pPr>
        <w:pStyle w:val="ListParagraph"/>
        <w:numPr>
          <w:ilvl w:val="1"/>
          <w:numId w:val="1"/>
        </w:numPr>
        <w:spacing w:after="120" w:line="312" w:lineRule="auto"/>
        <w:ind w:left="1134" w:hanging="425"/>
        <w:rPr>
          <w:rFonts w:ascii="Bosch Office Sans" w:hAnsi="Bosch Office Sans"/>
        </w:rPr>
      </w:pPr>
      <w:r>
        <w:rPr>
          <w:rFonts w:ascii="Bosch Office Sans" w:hAnsi="Bosch Office Sans"/>
        </w:rPr>
        <w:t xml:space="preserve">purchase and install one of the qualifying products set out in column one of the </w:t>
      </w:r>
      <w:proofErr w:type="gramStart"/>
      <w:r>
        <w:rPr>
          <w:rFonts w:ascii="Bosch Office Sans" w:hAnsi="Bosch Office Sans"/>
        </w:rPr>
        <w:t>table</w:t>
      </w:r>
      <w:proofErr w:type="gramEnd"/>
      <w:r>
        <w:rPr>
          <w:rFonts w:ascii="Bosch Office Sans" w:hAnsi="Bosch Office Sans"/>
        </w:rPr>
        <w:t xml:space="preserve"> annexed to these Terms (“</w:t>
      </w:r>
      <w:r w:rsidRPr="00AE0C22">
        <w:rPr>
          <w:rFonts w:ascii="Bosch Office Sans" w:hAnsi="Bosch Office Sans"/>
          <w:b/>
          <w:bCs/>
        </w:rPr>
        <w:t>Qualifying Products</w:t>
      </w:r>
      <w:r>
        <w:rPr>
          <w:rFonts w:ascii="Bosch Office Sans" w:hAnsi="Bosch Office Sans"/>
        </w:rPr>
        <w:t xml:space="preserve">”) </w:t>
      </w:r>
      <w:r w:rsidRPr="00737012">
        <w:rPr>
          <w:rFonts w:ascii="Bosch Office Sans" w:hAnsi="Bosch Office Sans"/>
        </w:rPr>
        <w:t>together with</w:t>
      </w:r>
      <w:r>
        <w:rPr>
          <w:rFonts w:ascii="Bosch Office Sans" w:hAnsi="Bosch Office Sans"/>
        </w:rPr>
        <w:t xml:space="preserve"> a Greenstar system filter;</w:t>
      </w:r>
    </w:p>
    <w:p w14:paraId="316D7591" w14:textId="63F65F0B" w:rsidR="00AE0C22" w:rsidRPr="00AE0C22" w:rsidRDefault="00AE0C22" w:rsidP="00123FA8">
      <w:pPr>
        <w:pStyle w:val="ListParagraph"/>
        <w:numPr>
          <w:ilvl w:val="1"/>
          <w:numId w:val="1"/>
        </w:numPr>
        <w:spacing w:after="120" w:line="312" w:lineRule="auto"/>
        <w:ind w:left="1134" w:hanging="425"/>
        <w:rPr>
          <w:rFonts w:ascii="Bosch Office Sans" w:hAnsi="Bosch Office Sans"/>
        </w:rPr>
      </w:pPr>
      <w:bookmarkStart w:id="0" w:name="_Hlk120037953"/>
      <w:r>
        <w:rPr>
          <w:rFonts w:ascii="Bosch Office Sans" w:hAnsi="Bosch Office Sans"/>
        </w:rPr>
        <w:t xml:space="preserve">register the </w:t>
      </w:r>
      <w:r w:rsidRPr="00AE0C22">
        <w:rPr>
          <w:rFonts w:ascii="Bosch Office Sans" w:hAnsi="Bosch Office Sans"/>
        </w:rPr>
        <w:t xml:space="preserve">installation of the Qualifying Product </w:t>
      </w:r>
      <w:r>
        <w:rPr>
          <w:rFonts w:ascii="Bosch Office Sans" w:hAnsi="Bosch Office Sans"/>
        </w:rPr>
        <w:t>and</w:t>
      </w:r>
      <w:r w:rsidRPr="00AE0C22">
        <w:rPr>
          <w:rFonts w:ascii="Bosch Office Sans" w:hAnsi="Bosch Office Sans"/>
        </w:rPr>
        <w:t xml:space="preserve"> the Greenstar system filter with the Promoter in their Excelerate account at: </w:t>
      </w:r>
      <w:hyperlink r:id="rId5" w:history="1">
        <w:r w:rsidRPr="00AE0C22">
          <w:rPr>
            <w:rFonts w:ascii="Bosch Office Sans" w:hAnsi="Bosch Office Sans"/>
          </w:rPr>
          <w:t>https://www.worcester-</w:t>
        </w:r>
        <w:r w:rsidRPr="00AE0C22">
          <w:rPr>
            <w:rFonts w:ascii="Bosch Office Sans" w:hAnsi="Bosch Office Sans"/>
          </w:rPr>
          <w:lastRenderedPageBreak/>
          <w:t>bosch.co.uk/login</w:t>
        </w:r>
      </w:hyperlink>
      <w:r w:rsidRPr="00737012">
        <w:rPr>
          <w:rFonts w:ascii="Bosch Office Sans" w:hAnsi="Bosch Office Sans"/>
        </w:rPr>
        <w:t xml:space="preserve"> </w:t>
      </w:r>
      <w:r w:rsidR="00737012" w:rsidRPr="00737012">
        <w:rPr>
          <w:rFonts w:ascii="Bosch Office Sans" w:hAnsi="Bosch Office Sans"/>
        </w:rPr>
        <w:t xml:space="preserve"> or via the Eligible Participant’s Excelerate account on the </w:t>
      </w:r>
      <w:r w:rsidR="00784D13">
        <w:rPr>
          <w:rFonts w:ascii="Bosch Office Sans" w:hAnsi="Bosch Office Sans"/>
        </w:rPr>
        <w:t>Worcester Bosch Professional App</w:t>
      </w:r>
      <w:r w:rsidR="007D6DA5">
        <w:rPr>
          <w:rFonts w:ascii="Bosch Office Sans" w:hAnsi="Bosch Office Sans"/>
        </w:rPr>
        <w:t>.</w:t>
      </w:r>
      <w:r w:rsidR="00784D13">
        <w:rPr>
          <w:rFonts w:ascii="Bosch Office Sans" w:hAnsi="Bosch Office Sans"/>
        </w:rPr>
        <w:t xml:space="preserve"> </w:t>
      </w:r>
      <w:r w:rsidR="00737012" w:rsidRPr="00737012">
        <w:rPr>
          <w:rFonts w:ascii="Bosch Office Sans" w:hAnsi="Bosch Office Sans"/>
        </w:rPr>
        <w:t xml:space="preserve">Eligible Participants must provide all necessary information as part of the registration, as detailed at </w:t>
      </w:r>
      <w:hyperlink r:id="rId6" w:history="1">
        <w:r w:rsidR="00737012" w:rsidRPr="00737012">
          <w:rPr>
            <w:rFonts w:ascii="Bosch Office Sans" w:hAnsi="Bosch Office Sans"/>
          </w:rPr>
          <w:t>worcester-bosch.co.uk/login</w:t>
        </w:r>
      </w:hyperlink>
      <w:r w:rsidR="00737012" w:rsidRPr="00737012">
        <w:rPr>
          <w:rFonts w:ascii="Bosch Office Sans" w:hAnsi="Bosch Office Sans"/>
        </w:rPr>
        <w:t xml:space="preserve"> and on the </w:t>
      </w:r>
      <w:r w:rsidR="00784D13">
        <w:rPr>
          <w:rFonts w:ascii="Bosch Office Sans" w:hAnsi="Bosch Office Sans"/>
        </w:rPr>
        <w:t>Worcester Bosch Professional App</w:t>
      </w:r>
      <w:r w:rsidR="00737012">
        <w:rPr>
          <w:rFonts w:ascii="Bosch Office Sans" w:hAnsi="Bosch Office Sans"/>
        </w:rPr>
        <w:t>,</w:t>
      </w:r>
    </w:p>
    <w:bookmarkEnd w:id="0"/>
    <w:p w14:paraId="009F4C1C" w14:textId="77C44CD8" w:rsidR="00750B2C" w:rsidRPr="00AE0C22" w:rsidRDefault="00BA25C9" w:rsidP="00123FA8">
      <w:pPr>
        <w:spacing w:after="120" w:line="312" w:lineRule="auto"/>
        <w:ind w:left="709"/>
        <w:rPr>
          <w:rFonts w:ascii="Bosch Office Sans" w:hAnsi="Bosch Office Sans"/>
        </w:rPr>
      </w:pPr>
      <w:r w:rsidRPr="00AE0C22">
        <w:rPr>
          <w:rFonts w:ascii="Bosch Office Sans" w:hAnsi="Bosch Office Sans"/>
        </w:rPr>
        <w:t>(</w:t>
      </w:r>
      <w:proofErr w:type="gramStart"/>
      <w:r w:rsidRPr="00AE0C22">
        <w:rPr>
          <w:rFonts w:ascii="Bosch Office Sans" w:hAnsi="Bosch Office Sans"/>
        </w:rPr>
        <w:t>together</w:t>
      </w:r>
      <w:proofErr w:type="gramEnd"/>
      <w:r w:rsidR="00213DAA" w:rsidRPr="00AE0C22">
        <w:rPr>
          <w:rFonts w:ascii="Bosch Office Sans" w:hAnsi="Bosch Office Sans"/>
        </w:rPr>
        <w:t xml:space="preserve"> </w:t>
      </w:r>
      <w:r w:rsidRPr="00AE0C22">
        <w:rPr>
          <w:rFonts w:ascii="Bosch Office Sans" w:hAnsi="Bosch Office Sans"/>
        </w:rPr>
        <w:t xml:space="preserve">the </w:t>
      </w:r>
      <w:r w:rsidR="00213DAA" w:rsidRPr="00AE0C22">
        <w:rPr>
          <w:rFonts w:ascii="Bosch Office Sans" w:hAnsi="Bosch Office Sans"/>
        </w:rPr>
        <w:t>“</w:t>
      </w:r>
      <w:r w:rsidR="00213DAA" w:rsidRPr="00AE0C22">
        <w:rPr>
          <w:rFonts w:ascii="Bosch Office Sans" w:hAnsi="Bosch Office Sans"/>
          <w:b/>
        </w:rPr>
        <w:t>Entry</w:t>
      </w:r>
      <w:r w:rsidR="00213DAA" w:rsidRPr="00AE0C22">
        <w:rPr>
          <w:rFonts w:ascii="Bosch Office Sans" w:hAnsi="Bosch Office Sans"/>
        </w:rPr>
        <w:t>”)</w:t>
      </w:r>
      <w:r w:rsidR="005A0B11" w:rsidRPr="00AE0C22" w:rsidDel="008A6694">
        <w:rPr>
          <w:rFonts w:ascii="Bosch Office Sans" w:hAnsi="Bosch Office Sans"/>
        </w:rPr>
        <w:t>.</w:t>
      </w:r>
      <w:r w:rsidR="00AC0F61" w:rsidRPr="00AE0C22">
        <w:rPr>
          <w:rFonts w:ascii="Bosch Office Sans" w:hAnsi="Bosch Office Sans"/>
        </w:rPr>
        <w:t xml:space="preserve"> </w:t>
      </w:r>
    </w:p>
    <w:p w14:paraId="79BD7A4D" w14:textId="33D0F60C" w:rsidR="00AE0C22" w:rsidRPr="00AE0C22" w:rsidRDefault="00AE0C22" w:rsidP="00AE0C22">
      <w:pPr>
        <w:pStyle w:val="ListParagraph"/>
        <w:numPr>
          <w:ilvl w:val="0"/>
          <w:numId w:val="1"/>
        </w:numPr>
        <w:spacing w:after="120" w:line="312" w:lineRule="auto"/>
        <w:rPr>
          <w:rFonts w:ascii="Bosch Office Sans" w:hAnsi="Bosch Office Sans"/>
        </w:rPr>
      </w:pPr>
      <w:r w:rsidRPr="00AE0C22">
        <w:rPr>
          <w:rFonts w:ascii="Bosch Office Sans" w:hAnsi="Bosch Office Sans"/>
        </w:rPr>
        <w:t>The Standard Guarantee for each Qualifying Product is set out in column two of the table annexed to these Terms.</w:t>
      </w:r>
    </w:p>
    <w:p w14:paraId="2DEDC7FE" w14:textId="77777777" w:rsidR="00AE0C22" w:rsidRPr="00AE0C22" w:rsidRDefault="00AE0C22" w:rsidP="00AE0C22">
      <w:pPr>
        <w:pStyle w:val="ListParagraph"/>
        <w:spacing w:after="120" w:line="312" w:lineRule="auto"/>
        <w:rPr>
          <w:rFonts w:ascii="Bosch Office Sans" w:hAnsi="Bosch Office Sans"/>
        </w:rPr>
      </w:pPr>
    </w:p>
    <w:p w14:paraId="40C4F354" w14:textId="674FB4DD" w:rsidR="00556058" w:rsidRDefault="00AE0C22" w:rsidP="00AE0C22">
      <w:pPr>
        <w:pStyle w:val="ListParagraph"/>
        <w:numPr>
          <w:ilvl w:val="0"/>
          <w:numId w:val="1"/>
        </w:numPr>
        <w:spacing w:after="120" w:line="312" w:lineRule="auto"/>
        <w:rPr>
          <w:rFonts w:ascii="Bosch Office Sans" w:hAnsi="Bosch Office Sans"/>
        </w:rPr>
      </w:pPr>
      <w:r w:rsidRPr="00AE0C22">
        <w:rPr>
          <w:rFonts w:ascii="Bosch Office Sans" w:hAnsi="Bosch Office Sans"/>
        </w:rPr>
        <w:t xml:space="preserve">The Extended Guarantee for each Qualifying Product under this Promotion is set out in column three of the table annexed to these Terms. In addition, subject to satisfaction of the Entry requirements, Eligible Participants </w:t>
      </w:r>
      <w:r>
        <w:rPr>
          <w:rFonts w:ascii="Bosch Office Sans" w:hAnsi="Bosch Office Sans"/>
        </w:rPr>
        <w:t>may elect to</w:t>
      </w:r>
      <w:r w:rsidRPr="00AE0C22">
        <w:rPr>
          <w:rFonts w:ascii="Bosch Office Sans" w:hAnsi="Bosch Office Sans"/>
        </w:rPr>
        <w:t xml:space="preserve"> pay the Promoter an additional £150</w:t>
      </w:r>
      <w:r w:rsidR="005B5C62">
        <w:rPr>
          <w:rFonts w:ascii="Bosch Office Sans" w:hAnsi="Bosch Office Sans"/>
        </w:rPr>
        <w:t>*</w:t>
      </w:r>
      <w:r w:rsidRPr="00AE0C22">
        <w:rPr>
          <w:rFonts w:ascii="Bosch Office Sans" w:hAnsi="Bosch Office Sans"/>
        </w:rPr>
        <w:t xml:space="preserve"> to upgrade the Extended Guarantee on Qualifying Products for the periods set out in column</w:t>
      </w:r>
      <w:r>
        <w:rPr>
          <w:rFonts w:ascii="Bosch Office Sans" w:hAnsi="Bosch Office Sans"/>
        </w:rPr>
        <w:t xml:space="preserve"> four of the table annexed to these Terms</w:t>
      </w:r>
      <w:r w:rsidR="005B5C62">
        <w:rPr>
          <w:rFonts w:ascii="Bosch Office Sans" w:hAnsi="Bosch Office Sans"/>
        </w:rPr>
        <w:t xml:space="preserve"> (*£40 in the period 1 </w:t>
      </w:r>
      <w:r w:rsidR="00784D13">
        <w:rPr>
          <w:rFonts w:ascii="Bosch Office Sans" w:hAnsi="Bosch Office Sans"/>
        </w:rPr>
        <w:t>January</w:t>
      </w:r>
      <w:r w:rsidR="005B5C62">
        <w:rPr>
          <w:rFonts w:ascii="Bosch Office Sans" w:hAnsi="Bosch Office Sans"/>
        </w:rPr>
        <w:t xml:space="preserve"> 202</w:t>
      </w:r>
      <w:r w:rsidR="00784D13">
        <w:rPr>
          <w:rFonts w:ascii="Bosch Office Sans" w:hAnsi="Bosch Office Sans"/>
        </w:rPr>
        <w:t>4</w:t>
      </w:r>
      <w:r w:rsidR="005B5C62">
        <w:rPr>
          <w:rFonts w:ascii="Bosch Office Sans" w:hAnsi="Bosch Office Sans"/>
        </w:rPr>
        <w:t xml:space="preserve">– 31 </w:t>
      </w:r>
      <w:r w:rsidR="00E76381">
        <w:rPr>
          <w:rFonts w:ascii="Bosch Office Sans" w:hAnsi="Bosch Office Sans"/>
        </w:rPr>
        <w:t xml:space="preserve">December </w:t>
      </w:r>
      <w:r w:rsidR="005B5C62">
        <w:rPr>
          <w:rFonts w:ascii="Bosch Office Sans" w:hAnsi="Bosch Office Sans"/>
        </w:rPr>
        <w:t>202</w:t>
      </w:r>
      <w:r w:rsidR="00784D13">
        <w:rPr>
          <w:rFonts w:ascii="Bosch Office Sans" w:hAnsi="Bosch Office Sans"/>
        </w:rPr>
        <w:t>4</w:t>
      </w:r>
      <w:r w:rsidR="005B5C62">
        <w:rPr>
          <w:rFonts w:ascii="Bosch Office Sans" w:hAnsi="Bosch Office Sans"/>
        </w:rPr>
        <w:t xml:space="preserve"> (inclusive))</w:t>
      </w:r>
      <w:r>
        <w:rPr>
          <w:rFonts w:ascii="Bosch Office Sans" w:hAnsi="Bosch Office Sans"/>
        </w:rPr>
        <w:t>. Payment should be made in the Eligible Participant’s online Excelerate account using the “Extend a Guarantee” function.</w:t>
      </w:r>
      <w:r w:rsidR="00D766D0">
        <w:rPr>
          <w:rFonts w:ascii="Bosch Office Sans" w:hAnsi="Bosch Office Sans"/>
        </w:rPr>
        <w:t xml:space="preserve"> There is no option to upgrade the </w:t>
      </w:r>
      <w:r w:rsidR="00D766D0" w:rsidRPr="00AE0C22">
        <w:rPr>
          <w:rFonts w:ascii="Bosch Office Sans" w:hAnsi="Bosch Office Sans"/>
        </w:rPr>
        <w:t>Extended Guarantee</w:t>
      </w:r>
      <w:r w:rsidR="00D766D0">
        <w:rPr>
          <w:rFonts w:ascii="Bosch Office Sans" w:hAnsi="Bosch Office Sans"/>
        </w:rPr>
        <w:t xml:space="preserve"> on the Greenstar 2000 model.</w:t>
      </w:r>
    </w:p>
    <w:p w14:paraId="1F984191" w14:textId="77777777" w:rsidR="00AE0C22" w:rsidRPr="00AE0C22" w:rsidRDefault="00AE0C22" w:rsidP="00AE0C22">
      <w:pPr>
        <w:pStyle w:val="ListParagraph"/>
        <w:rPr>
          <w:rFonts w:ascii="Bosch Office Sans" w:hAnsi="Bosch Office Sans"/>
        </w:rPr>
      </w:pPr>
    </w:p>
    <w:p w14:paraId="2744E916" w14:textId="7E301EAF" w:rsidR="00AE0C22" w:rsidRPr="00AE0C22" w:rsidRDefault="00AE0C22" w:rsidP="00AE0C22">
      <w:pPr>
        <w:pStyle w:val="ListParagraph"/>
        <w:numPr>
          <w:ilvl w:val="0"/>
          <w:numId w:val="1"/>
        </w:numPr>
        <w:spacing w:after="120" w:line="312" w:lineRule="auto"/>
        <w:rPr>
          <w:rFonts w:ascii="Bosch Office Sans" w:hAnsi="Bosch Office Sans"/>
        </w:rPr>
      </w:pPr>
      <w:r w:rsidRPr="00AE0C22">
        <w:rPr>
          <w:rFonts w:ascii="Bosch Office Sans" w:hAnsi="Bosch Office Sans"/>
        </w:rPr>
        <w:t xml:space="preserve">The Promotion is only available on Qualifying Products which have been supplied and distributed by the Promoter within the United Kingdom.  The Promoter cannot accept entries against Qualifying Products which have been purchased from alternative markets. The Promotion is not available on any second hand or graded stock. </w:t>
      </w:r>
      <w:r>
        <w:rPr>
          <w:rFonts w:ascii="Bosch Office Sans" w:hAnsi="Bosch Office Sans"/>
        </w:rPr>
        <w:t xml:space="preserve">The Promoter </w:t>
      </w:r>
      <w:r w:rsidRPr="00AE0C22">
        <w:rPr>
          <w:rFonts w:ascii="Bosch Office Sans" w:hAnsi="Bosch Office Sans"/>
        </w:rPr>
        <w:t xml:space="preserve">reserves the right to refuse any Entry if a Qualifying Product (in whole or in part), is returned or resold. </w:t>
      </w:r>
    </w:p>
    <w:p w14:paraId="1F80B36D" w14:textId="77777777" w:rsidR="00AE0C22" w:rsidRPr="00AE0C22" w:rsidRDefault="00AE0C22" w:rsidP="00AE0C22">
      <w:pPr>
        <w:pStyle w:val="ListParagraph"/>
        <w:rPr>
          <w:rFonts w:ascii="Bosch Office Sans" w:hAnsi="Bosch Office Sans"/>
        </w:rPr>
      </w:pPr>
    </w:p>
    <w:p w14:paraId="068E7FB7" w14:textId="2C64ABE0" w:rsidR="00AE0C22" w:rsidRDefault="00AE0C22" w:rsidP="00AE0C22">
      <w:pPr>
        <w:pStyle w:val="ListParagraph"/>
        <w:numPr>
          <w:ilvl w:val="0"/>
          <w:numId w:val="1"/>
        </w:numPr>
        <w:spacing w:after="120" w:line="312" w:lineRule="auto"/>
        <w:rPr>
          <w:rFonts w:ascii="Bosch Office Sans" w:hAnsi="Bosch Office Sans"/>
        </w:rPr>
      </w:pPr>
      <w:r>
        <w:rPr>
          <w:rFonts w:ascii="Bosch Office Sans" w:hAnsi="Bosch Office Sans"/>
        </w:rPr>
        <w:t xml:space="preserve">All guarantees on Qualifying Products are additionally subject to the Promoter’s guarantee terms and conditions in force from time to time, which are available at: </w:t>
      </w:r>
      <w:r w:rsidRPr="00AE0C22">
        <w:rPr>
          <w:rFonts w:ascii="Bosch Office Sans" w:hAnsi="Bosch Office Sans"/>
        </w:rPr>
        <w:t>https://www.worcester-bosch.co.uk/guarantee-terms-and-conditions</w:t>
      </w:r>
      <w:r>
        <w:rPr>
          <w:rFonts w:ascii="Bosch Office Sans" w:hAnsi="Bosch Office Sans"/>
        </w:rPr>
        <w:t>.</w:t>
      </w:r>
    </w:p>
    <w:p w14:paraId="105144B0" w14:textId="18C4DB1F" w:rsidR="00556058" w:rsidRDefault="00556058" w:rsidP="00C82377">
      <w:pPr>
        <w:pStyle w:val="ListParagraph"/>
        <w:spacing w:after="120" w:line="312" w:lineRule="auto"/>
        <w:rPr>
          <w:rFonts w:ascii="Bosch Office Sans" w:hAnsi="Bosch Office Sans"/>
        </w:rPr>
      </w:pPr>
    </w:p>
    <w:p w14:paraId="3E34F025" w14:textId="7E2916CD" w:rsidR="00264AA8" w:rsidRDefault="00264AA8" w:rsidP="00C82377">
      <w:pPr>
        <w:pStyle w:val="ListParagraph"/>
        <w:numPr>
          <w:ilvl w:val="0"/>
          <w:numId w:val="1"/>
        </w:numPr>
        <w:spacing w:after="120" w:line="312" w:lineRule="auto"/>
        <w:rPr>
          <w:rFonts w:ascii="Bosch Office Sans" w:hAnsi="Bosch Office Sans"/>
        </w:rPr>
      </w:pPr>
      <w:r>
        <w:rPr>
          <w:rFonts w:ascii="Bosch Office Sans" w:hAnsi="Bosch Office Sans"/>
        </w:rPr>
        <w:t xml:space="preserve">The </w:t>
      </w:r>
      <w:r w:rsidR="00AE0C22">
        <w:rPr>
          <w:rFonts w:ascii="Bosch Office Sans" w:hAnsi="Bosch Office Sans"/>
        </w:rPr>
        <w:t>Entry must</w:t>
      </w:r>
      <w:r>
        <w:rPr>
          <w:rFonts w:ascii="Bosch Office Sans" w:hAnsi="Bosch Office Sans"/>
        </w:rPr>
        <w:t xml:space="preserve"> be received by the Promoter </w:t>
      </w:r>
      <w:r w:rsidR="00AE0C22">
        <w:rPr>
          <w:rFonts w:ascii="Bosch Office Sans" w:hAnsi="Bosch Office Sans"/>
        </w:rPr>
        <w:t xml:space="preserve">not later than </w:t>
      </w:r>
      <w:r>
        <w:rPr>
          <w:rFonts w:ascii="Bosch Office Sans" w:hAnsi="Bosch Office Sans"/>
        </w:rPr>
        <w:t xml:space="preserve">the Closing Date. </w:t>
      </w:r>
    </w:p>
    <w:p w14:paraId="7DAB58FA" w14:textId="77777777" w:rsidR="00264AA8" w:rsidRDefault="00264AA8" w:rsidP="008E136E">
      <w:pPr>
        <w:pStyle w:val="ListParagraph"/>
        <w:spacing w:after="120" w:line="312" w:lineRule="auto"/>
        <w:rPr>
          <w:rFonts w:ascii="Bosch Office Sans" w:hAnsi="Bosch Office Sans"/>
        </w:rPr>
      </w:pPr>
    </w:p>
    <w:p w14:paraId="1568E5B1" w14:textId="273A2BB4" w:rsidR="00CC5672" w:rsidRPr="00123FA8" w:rsidRDefault="00770C2F" w:rsidP="00C82377">
      <w:pPr>
        <w:pStyle w:val="ListParagraph"/>
        <w:numPr>
          <w:ilvl w:val="0"/>
          <w:numId w:val="1"/>
        </w:numPr>
        <w:spacing w:after="120" w:line="312" w:lineRule="auto"/>
        <w:rPr>
          <w:rFonts w:ascii="Bosch Office Sans" w:hAnsi="Bosch Office Sans"/>
        </w:rPr>
      </w:pPr>
      <w:r w:rsidRPr="00C82377">
        <w:rPr>
          <w:rFonts w:ascii="Bosch Office Sans" w:hAnsi="Bosch Office Sans"/>
        </w:rPr>
        <w:t xml:space="preserve">Any </w:t>
      </w:r>
      <w:r w:rsidR="00F12790">
        <w:rPr>
          <w:rFonts w:ascii="Bosch Office Sans" w:hAnsi="Bosch Office Sans"/>
        </w:rPr>
        <w:t>Entry t</w:t>
      </w:r>
      <w:r w:rsidRPr="00C82377">
        <w:rPr>
          <w:rFonts w:ascii="Bosch Office Sans" w:hAnsi="Bosch Office Sans"/>
        </w:rPr>
        <w:t xml:space="preserve">hat does not contain the information required above will be an invalid </w:t>
      </w:r>
      <w:r w:rsidR="00A80CE8">
        <w:rPr>
          <w:rFonts w:ascii="Bosch Office Sans" w:hAnsi="Bosch Office Sans"/>
        </w:rPr>
        <w:t>E</w:t>
      </w:r>
      <w:r w:rsidRPr="00C82377">
        <w:rPr>
          <w:rFonts w:ascii="Bosch Office Sans" w:hAnsi="Bosch Office Sans"/>
        </w:rPr>
        <w:t xml:space="preserve">ntry and will not be entered into the Promotion. The Promoter reserves the right and has complete discretion to disqualify any </w:t>
      </w:r>
      <w:r w:rsidR="00F12790">
        <w:rPr>
          <w:rFonts w:ascii="Bosch Office Sans" w:hAnsi="Bosch Office Sans"/>
        </w:rPr>
        <w:t>E</w:t>
      </w:r>
      <w:r w:rsidRPr="00C82377">
        <w:rPr>
          <w:rFonts w:ascii="Bosch Office Sans" w:hAnsi="Bosch Office Sans"/>
        </w:rPr>
        <w:t xml:space="preserve">ntry deemed unsuitable, inappropriate, </w:t>
      </w:r>
      <w:proofErr w:type="gramStart"/>
      <w:r w:rsidRPr="00C82377">
        <w:rPr>
          <w:rFonts w:ascii="Bosch Office Sans" w:hAnsi="Bosch Office Sans"/>
        </w:rPr>
        <w:t>explicit</w:t>
      </w:r>
      <w:proofErr w:type="gramEnd"/>
      <w:r w:rsidRPr="00C82377">
        <w:rPr>
          <w:rFonts w:ascii="Bosch Office Sans" w:hAnsi="Bosch Office Sans"/>
        </w:rPr>
        <w:t xml:space="preserve"> or offensive, and </w:t>
      </w:r>
      <w:r w:rsidR="00213DAA" w:rsidRPr="00C82377">
        <w:rPr>
          <w:rFonts w:ascii="Bosch Office Sans" w:hAnsi="Bosch Office Sans" w:cs="serif"/>
          <w:color w:val="000000"/>
        </w:rPr>
        <w:t xml:space="preserve">accepts no responsibility </w:t>
      </w:r>
      <w:r w:rsidR="00F12790">
        <w:rPr>
          <w:rFonts w:ascii="Bosch Office Sans" w:hAnsi="Bosch Office Sans" w:cs="serif"/>
          <w:color w:val="000000"/>
        </w:rPr>
        <w:t>for E</w:t>
      </w:r>
      <w:r w:rsidR="00213DAA" w:rsidRPr="00C82377">
        <w:rPr>
          <w:rFonts w:ascii="Bosch Office Sans" w:hAnsi="Bosch Office Sans" w:cs="serif"/>
          <w:color w:val="000000"/>
        </w:rPr>
        <w:t>ntries not successfully or fully completed due to any reason including technical faults.</w:t>
      </w:r>
    </w:p>
    <w:p w14:paraId="0800A56F" w14:textId="77777777" w:rsidR="00123FA8" w:rsidRPr="00123FA8" w:rsidRDefault="00123FA8" w:rsidP="00123FA8">
      <w:pPr>
        <w:pStyle w:val="ListParagraph"/>
        <w:spacing w:after="120" w:line="312" w:lineRule="auto"/>
        <w:rPr>
          <w:rFonts w:ascii="Bosch Office Sans" w:hAnsi="Bosch Office Sans"/>
        </w:rPr>
      </w:pPr>
    </w:p>
    <w:p w14:paraId="0479C188" w14:textId="77777777" w:rsidR="008E136E" w:rsidRDefault="008E136E" w:rsidP="008E136E">
      <w:pPr>
        <w:pStyle w:val="ListParagraph"/>
        <w:numPr>
          <w:ilvl w:val="0"/>
          <w:numId w:val="1"/>
        </w:numPr>
        <w:spacing w:after="120" w:line="312" w:lineRule="auto"/>
        <w:rPr>
          <w:rFonts w:ascii="Bosch Office Sans" w:hAnsi="Bosch Office Sans"/>
        </w:rPr>
      </w:pPr>
      <w:r w:rsidRPr="008E136E">
        <w:rPr>
          <w:rFonts w:ascii="Bosch Office Sans" w:hAnsi="Bosch Office Sans"/>
        </w:rPr>
        <w:t xml:space="preserve">The Promoter reserves the right and has complete discretion to disqualify any Entry deemed unsuitable, inappropriate, </w:t>
      </w:r>
      <w:proofErr w:type="gramStart"/>
      <w:r w:rsidRPr="008E136E">
        <w:rPr>
          <w:rFonts w:ascii="Bosch Office Sans" w:hAnsi="Bosch Office Sans"/>
        </w:rPr>
        <w:t>explicit</w:t>
      </w:r>
      <w:proofErr w:type="gramEnd"/>
      <w:r w:rsidRPr="008E136E">
        <w:rPr>
          <w:rFonts w:ascii="Bosch Office Sans" w:hAnsi="Bosch Office Sans"/>
        </w:rPr>
        <w:t xml:space="preserve"> or offensive, and accepts no responsibility for Entries not successfully or fully completed due to any reason including technical faults.</w:t>
      </w:r>
    </w:p>
    <w:p w14:paraId="4E021F00" w14:textId="77777777" w:rsidR="008E136E" w:rsidRPr="00AE0C22" w:rsidRDefault="008E136E" w:rsidP="008E136E">
      <w:pPr>
        <w:pStyle w:val="ListParagraph"/>
        <w:rPr>
          <w:rFonts w:ascii="Bosch Office Sans" w:hAnsi="Bosch Office Sans"/>
        </w:rPr>
      </w:pPr>
    </w:p>
    <w:p w14:paraId="71AA1E8B" w14:textId="77777777" w:rsidR="00AE0C22" w:rsidRPr="00AE0C22" w:rsidRDefault="00AE0C22" w:rsidP="00AE0C22">
      <w:pPr>
        <w:pStyle w:val="ListParagraph"/>
        <w:rPr>
          <w:rFonts w:ascii="Bosch Office Sans" w:hAnsi="Bosch Office Sans"/>
        </w:rPr>
      </w:pPr>
    </w:p>
    <w:p w14:paraId="01128FF5" w14:textId="7F8FDE17" w:rsidR="00AE0C22" w:rsidRDefault="00AE0C22" w:rsidP="00AE0C22">
      <w:pPr>
        <w:pStyle w:val="ListParagraph"/>
        <w:numPr>
          <w:ilvl w:val="0"/>
          <w:numId w:val="1"/>
        </w:numPr>
        <w:spacing w:after="120" w:line="312" w:lineRule="auto"/>
        <w:rPr>
          <w:rFonts w:ascii="Bosch Office Sans" w:hAnsi="Bosch Office Sans"/>
        </w:rPr>
      </w:pPr>
      <w:r>
        <w:rPr>
          <w:rFonts w:ascii="Bosch Office Sans" w:hAnsi="Bosch Office Sans"/>
        </w:rPr>
        <w:t>Eligible Participants that join the Promoter’s Excelerate loyalty scheme part way through the promotion period may submit Entries in accordance with these Terms but may only do so in respect of Qualifying Products that they install and register</w:t>
      </w:r>
      <w:r w:rsidR="00EE5E03">
        <w:rPr>
          <w:rFonts w:ascii="Bosch Office Sans" w:hAnsi="Bosch Office Sans"/>
        </w:rPr>
        <w:t xml:space="preserve"> (</w:t>
      </w:r>
      <w:r>
        <w:rPr>
          <w:rFonts w:ascii="Bosch Office Sans" w:hAnsi="Bosch Office Sans"/>
        </w:rPr>
        <w:t>as described in clause</w:t>
      </w:r>
      <w:r w:rsidR="000E69DC">
        <w:rPr>
          <w:rFonts w:ascii="Bosch Office Sans" w:hAnsi="Bosch Office Sans"/>
        </w:rPr>
        <w:t xml:space="preserve"> 6</w:t>
      </w:r>
      <w:r w:rsidR="00EE5E03">
        <w:rPr>
          <w:rFonts w:ascii="Bosch Office Sans" w:hAnsi="Bosch Office Sans"/>
        </w:rPr>
        <w:t>)</w:t>
      </w:r>
      <w:r>
        <w:rPr>
          <w:rFonts w:ascii="Bosch Office Sans" w:hAnsi="Bosch Office Sans"/>
        </w:rPr>
        <w:t xml:space="preserve"> after the date on which they become a member of the Excelerate scheme.</w:t>
      </w:r>
    </w:p>
    <w:p w14:paraId="73472DB1" w14:textId="77777777" w:rsidR="00C82377" w:rsidRPr="00AE0C22" w:rsidRDefault="00C82377" w:rsidP="00C82377">
      <w:pPr>
        <w:pStyle w:val="ListParagraph"/>
        <w:rPr>
          <w:rFonts w:ascii="Bosch Office Sans" w:hAnsi="Bosch Office Sans"/>
        </w:rPr>
      </w:pPr>
    </w:p>
    <w:p w14:paraId="48322795" w14:textId="58295CFF" w:rsidR="0003017C" w:rsidRPr="00AE0C22" w:rsidRDefault="00C82377" w:rsidP="003C542B">
      <w:pPr>
        <w:pStyle w:val="ListParagraph"/>
        <w:numPr>
          <w:ilvl w:val="0"/>
          <w:numId w:val="1"/>
        </w:numPr>
        <w:spacing w:after="120" w:line="312" w:lineRule="auto"/>
        <w:rPr>
          <w:rFonts w:ascii="Bosch Office Sans" w:hAnsi="Bosch Office Sans"/>
        </w:rPr>
      </w:pPr>
      <w:r w:rsidRPr="00AE0C22">
        <w:rPr>
          <w:rFonts w:ascii="Bosch Office Sans" w:hAnsi="Bosch Office Sans"/>
        </w:rPr>
        <w:t>T</w:t>
      </w:r>
      <w:r w:rsidR="0003017C" w:rsidRPr="00AE0C22">
        <w:rPr>
          <w:rFonts w:ascii="Bosch Office Sans" w:hAnsi="Bosch Office Sans"/>
        </w:rPr>
        <w:t xml:space="preserve">he </w:t>
      </w:r>
      <w:r w:rsidR="00AE2F3C" w:rsidRPr="00AE0C22">
        <w:rPr>
          <w:rFonts w:ascii="Bosch Office Sans" w:hAnsi="Bosch Office Sans"/>
        </w:rPr>
        <w:t>Extended Guarantee</w:t>
      </w:r>
      <w:r w:rsidR="0003017C" w:rsidRPr="00AE0C22">
        <w:rPr>
          <w:rFonts w:ascii="Bosch Office Sans" w:hAnsi="Bosch Office Sans"/>
        </w:rPr>
        <w:t xml:space="preserve"> is not transferable and there is no cash alternative. </w:t>
      </w:r>
    </w:p>
    <w:p w14:paraId="7FB0CDBB" w14:textId="77777777" w:rsidR="00C82377" w:rsidRPr="00AE0C22" w:rsidRDefault="00C82377" w:rsidP="00C82377">
      <w:pPr>
        <w:pStyle w:val="ListParagraph"/>
        <w:rPr>
          <w:rFonts w:ascii="Bosch Office Sans" w:hAnsi="Bosch Office Sans"/>
        </w:rPr>
      </w:pPr>
    </w:p>
    <w:p w14:paraId="01CF915E" w14:textId="7731BD53" w:rsidR="0003017C" w:rsidRPr="00AE0C22" w:rsidRDefault="00C82377" w:rsidP="003C4847">
      <w:pPr>
        <w:pStyle w:val="ListParagraph"/>
        <w:numPr>
          <w:ilvl w:val="0"/>
          <w:numId w:val="1"/>
        </w:numPr>
        <w:spacing w:after="120" w:line="312" w:lineRule="auto"/>
        <w:rPr>
          <w:rFonts w:ascii="Bosch Office Sans" w:hAnsi="Bosch Office Sans"/>
        </w:rPr>
      </w:pPr>
      <w:r w:rsidRPr="00AE0C22">
        <w:rPr>
          <w:rFonts w:ascii="Bosch Office Sans" w:hAnsi="Bosch Office Sans"/>
        </w:rPr>
        <w:t>T</w:t>
      </w:r>
      <w:r w:rsidR="0003017C" w:rsidRPr="00AE0C22">
        <w:rPr>
          <w:rFonts w:ascii="Bosch Office Sans" w:hAnsi="Bosch Office Sans"/>
        </w:rPr>
        <w:t xml:space="preserve">he </w:t>
      </w:r>
      <w:r w:rsidR="00AE2F3C" w:rsidRPr="00AE0C22">
        <w:rPr>
          <w:rFonts w:ascii="Bosch Office Sans" w:hAnsi="Bosch Office Sans"/>
        </w:rPr>
        <w:t>Extended Guarantee</w:t>
      </w:r>
      <w:r w:rsidR="0003017C" w:rsidRPr="00AE0C22">
        <w:rPr>
          <w:rFonts w:ascii="Bosch Office Sans" w:hAnsi="Bosch Office Sans"/>
        </w:rPr>
        <w:t xml:space="preserve"> or any promotional item(s) must not be auctioned or resold. The Promoter reserves the rig</w:t>
      </w:r>
      <w:r w:rsidR="005360E6" w:rsidRPr="00AE0C22">
        <w:rPr>
          <w:rFonts w:ascii="Bosch Office Sans" w:hAnsi="Bosch Office Sans"/>
        </w:rPr>
        <w:t>ht to refuse to accept further E</w:t>
      </w:r>
      <w:r w:rsidR="0003017C" w:rsidRPr="00AE0C22">
        <w:rPr>
          <w:rFonts w:ascii="Bosch Office Sans" w:hAnsi="Bosch Office Sans"/>
        </w:rPr>
        <w:t>ntries under th</w:t>
      </w:r>
      <w:r w:rsidR="00770C2F" w:rsidRPr="00AE0C22">
        <w:rPr>
          <w:rFonts w:ascii="Bosch Office Sans" w:hAnsi="Bosch Office Sans"/>
        </w:rPr>
        <w:t>is or any other</w:t>
      </w:r>
      <w:r w:rsidR="0003017C" w:rsidRPr="00AE0C22">
        <w:rPr>
          <w:rFonts w:ascii="Bosch Office Sans" w:hAnsi="Bosch Office Sans"/>
        </w:rPr>
        <w:t xml:space="preserve"> </w:t>
      </w:r>
      <w:r w:rsidR="00770C2F" w:rsidRPr="00AE0C22">
        <w:rPr>
          <w:rFonts w:ascii="Bosch Office Sans" w:hAnsi="Bosch Office Sans"/>
        </w:rPr>
        <w:t>p</w:t>
      </w:r>
      <w:r w:rsidR="0003017C" w:rsidRPr="00AE0C22">
        <w:rPr>
          <w:rFonts w:ascii="Bosch Office Sans" w:hAnsi="Bosch Office Sans"/>
        </w:rPr>
        <w:t xml:space="preserve">romotion if it becomes aware of the reselling or auctioning of the </w:t>
      </w:r>
      <w:r w:rsidR="00AE2F3C" w:rsidRPr="00AE0C22">
        <w:rPr>
          <w:rFonts w:ascii="Bosch Office Sans" w:hAnsi="Bosch Office Sans"/>
        </w:rPr>
        <w:t>Extended Guarantee</w:t>
      </w:r>
      <w:r w:rsidR="0003017C" w:rsidRPr="00AE0C22">
        <w:rPr>
          <w:rFonts w:ascii="Bosch Office Sans" w:hAnsi="Bosch Office Sans"/>
        </w:rPr>
        <w:t xml:space="preserve"> or any promotional item(s).</w:t>
      </w:r>
    </w:p>
    <w:p w14:paraId="772B30A6" w14:textId="77777777" w:rsidR="00C82377" w:rsidRPr="00DF29EF" w:rsidRDefault="00C82377" w:rsidP="00C82377">
      <w:pPr>
        <w:pStyle w:val="ListParagraph"/>
        <w:rPr>
          <w:rFonts w:ascii="Bosch Office Sans" w:hAnsi="Bosch Office Sans"/>
        </w:rPr>
      </w:pPr>
    </w:p>
    <w:p w14:paraId="19966DE3" w14:textId="77777777" w:rsidR="00C82377" w:rsidRPr="00C82377" w:rsidRDefault="00C82377" w:rsidP="00C82377">
      <w:pPr>
        <w:pStyle w:val="ListParagraph"/>
        <w:rPr>
          <w:rFonts w:ascii="Bosch Office Sans" w:hAnsi="Bosch Office Sans"/>
        </w:rPr>
      </w:pPr>
    </w:p>
    <w:p w14:paraId="22098A9B" w14:textId="08DC897C" w:rsidR="008E136E" w:rsidRPr="008E136E" w:rsidRDefault="008E136E" w:rsidP="00AE0C22">
      <w:pPr>
        <w:pStyle w:val="ListParagraph"/>
        <w:spacing w:after="120" w:line="312" w:lineRule="auto"/>
        <w:rPr>
          <w:rFonts w:ascii="Bosch Office Sans" w:hAnsi="Bosch Office Sans"/>
        </w:rPr>
      </w:pPr>
    </w:p>
    <w:p w14:paraId="490FAEE6" w14:textId="77777777" w:rsidR="0003017C" w:rsidRPr="00C82377" w:rsidRDefault="0003017C" w:rsidP="00C82377">
      <w:pPr>
        <w:spacing w:after="120" w:line="312" w:lineRule="auto"/>
        <w:rPr>
          <w:rFonts w:ascii="Bosch Office Sans" w:hAnsi="Bosch Office Sans"/>
        </w:rPr>
      </w:pPr>
      <w:r w:rsidRPr="00C82377">
        <w:rPr>
          <w:rFonts w:ascii="Bosch Office Sans" w:hAnsi="Bosch Office Sans"/>
          <w:u w:val="single"/>
        </w:rPr>
        <w:t>General</w:t>
      </w:r>
      <w:r w:rsidR="00223FC0">
        <w:rPr>
          <w:rFonts w:ascii="Bosch Office Sans" w:hAnsi="Bosch Office Sans"/>
        </w:rPr>
        <w:t>:</w:t>
      </w:r>
    </w:p>
    <w:p w14:paraId="24B3CFC5" w14:textId="77777777" w:rsidR="0056764B" w:rsidRDefault="0056764B" w:rsidP="0056764B">
      <w:pPr>
        <w:pStyle w:val="ListParagraph"/>
        <w:spacing w:after="120" w:line="312" w:lineRule="auto"/>
        <w:rPr>
          <w:rFonts w:ascii="Bosch Office Sans" w:hAnsi="Bosch Office Sans"/>
        </w:rPr>
      </w:pPr>
    </w:p>
    <w:p w14:paraId="45A78D63" w14:textId="6D31A5D5" w:rsidR="0003017C" w:rsidRDefault="0003017C" w:rsidP="0056764B">
      <w:pPr>
        <w:pStyle w:val="ListParagraph"/>
        <w:numPr>
          <w:ilvl w:val="0"/>
          <w:numId w:val="1"/>
        </w:numPr>
        <w:spacing w:after="120" w:line="312" w:lineRule="auto"/>
        <w:rPr>
          <w:rFonts w:ascii="Bosch Office Sans" w:hAnsi="Bosch Office Sans"/>
        </w:rPr>
      </w:pPr>
      <w:r w:rsidRPr="00C82377">
        <w:rPr>
          <w:rFonts w:ascii="Bosch Office Sans" w:hAnsi="Bosch Office Sans"/>
        </w:rPr>
        <w:t xml:space="preserve">In all matters relating to the Promotion, the decision of the Promoter shall be </w:t>
      </w:r>
      <w:proofErr w:type="gramStart"/>
      <w:r w:rsidRPr="00C82377">
        <w:rPr>
          <w:rFonts w:ascii="Bosch Office Sans" w:hAnsi="Bosch Office Sans"/>
        </w:rPr>
        <w:t>final</w:t>
      </w:r>
      <w:proofErr w:type="gramEnd"/>
      <w:r w:rsidRPr="00C82377">
        <w:rPr>
          <w:rFonts w:ascii="Bosch Office Sans" w:hAnsi="Bosch Office Sans"/>
        </w:rPr>
        <w:t xml:space="preserve"> and no correspondence or discussion shall be entered into.</w:t>
      </w:r>
      <w:r w:rsidR="00E040D7" w:rsidRPr="00C82377">
        <w:rPr>
          <w:rFonts w:ascii="Bosch Office Sans" w:hAnsi="Bosch Office Sans"/>
        </w:rPr>
        <w:t xml:space="preserve"> </w:t>
      </w:r>
    </w:p>
    <w:p w14:paraId="11F446F2" w14:textId="77777777" w:rsidR="00C82377" w:rsidRDefault="00C82377" w:rsidP="00C82377">
      <w:pPr>
        <w:pStyle w:val="ListParagraph"/>
        <w:spacing w:after="120" w:line="312" w:lineRule="auto"/>
        <w:rPr>
          <w:rFonts w:ascii="Bosch Office Sans" w:hAnsi="Bosch Office Sans"/>
        </w:rPr>
      </w:pPr>
    </w:p>
    <w:p w14:paraId="273134A1" w14:textId="53169AE3" w:rsidR="0003017C" w:rsidRDefault="00C82377" w:rsidP="00CD63B5">
      <w:pPr>
        <w:pStyle w:val="ListParagraph"/>
        <w:numPr>
          <w:ilvl w:val="0"/>
          <w:numId w:val="1"/>
        </w:numPr>
        <w:spacing w:after="120" w:line="312" w:lineRule="auto"/>
        <w:rPr>
          <w:rFonts w:ascii="Bosch Office Sans" w:hAnsi="Bosch Office Sans"/>
        </w:rPr>
      </w:pPr>
      <w:r w:rsidRPr="00C82377">
        <w:rPr>
          <w:rFonts w:ascii="Bosch Office Sans" w:hAnsi="Bosch Office Sans"/>
        </w:rPr>
        <w:t>A</w:t>
      </w:r>
      <w:r w:rsidR="0003017C" w:rsidRPr="00C82377">
        <w:rPr>
          <w:rFonts w:ascii="Bosch Office Sans" w:hAnsi="Bosch Office Sans"/>
        </w:rPr>
        <w:t xml:space="preserve">t all times throughout the Promotion, participants must deal with the Promoter in the utmost good faith in every respect. The Promoter reserves the right to verify the eligibility of all participants and disqualify any participant that it has reasonable grounds to believe has breached any of the </w:t>
      </w:r>
      <w:r w:rsidR="00770C2F" w:rsidRPr="00C82377">
        <w:rPr>
          <w:rFonts w:ascii="Bosch Office Sans" w:hAnsi="Bosch Office Sans"/>
        </w:rPr>
        <w:t>Terms</w:t>
      </w:r>
      <w:r w:rsidR="0003017C" w:rsidRPr="00C82377">
        <w:rPr>
          <w:rFonts w:ascii="Bosch Office Sans" w:hAnsi="Bosch Office Sans"/>
        </w:rPr>
        <w:t>, including, but not limited to, falsifying any information submitted to or requested by the Promoter.</w:t>
      </w:r>
    </w:p>
    <w:p w14:paraId="449AB9F4" w14:textId="77777777" w:rsidR="00C82377" w:rsidRPr="00C82377" w:rsidRDefault="00C82377" w:rsidP="00C82377">
      <w:pPr>
        <w:pStyle w:val="ListParagraph"/>
        <w:rPr>
          <w:rFonts w:ascii="Bosch Office Sans" w:hAnsi="Bosch Office Sans"/>
        </w:rPr>
      </w:pPr>
    </w:p>
    <w:p w14:paraId="58511DB5" w14:textId="6BEAED75" w:rsidR="0003017C" w:rsidRPr="00C82377" w:rsidRDefault="00C82377" w:rsidP="00B9185F">
      <w:pPr>
        <w:pStyle w:val="ListParagraph"/>
        <w:numPr>
          <w:ilvl w:val="0"/>
          <w:numId w:val="1"/>
        </w:numPr>
        <w:spacing w:after="120" w:line="312" w:lineRule="auto"/>
        <w:rPr>
          <w:rFonts w:ascii="Bosch Office Sans" w:hAnsi="Bosch Office Sans"/>
        </w:rPr>
      </w:pPr>
      <w:r w:rsidRPr="00C82377">
        <w:rPr>
          <w:rFonts w:ascii="Bosch Office Sans" w:hAnsi="Bosch Office Sans"/>
        </w:rPr>
        <w:t>T</w:t>
      </w:r>
      <w:r w:rsidR="0003017C" w:rsidRPr="00C82377">
        <w:rPr>
          <w:rFonts w:ascii="Bosch Office Sans" w:hAnsi="Bosch Office Sans"/>
        </w:rPr>
        <w:t>he Promoter reserves the right to amend or terminate the Promotion at any time without notice.</w:t>
      </w:r>
      <w:r w:rsidR="00166DDC" w:rsidRPr="00C82377">
        <w:rPr>
          <w:rFonts w:ascii="Bosch Office Sans" w:eastAsia="Times New Roman" w:hAnsi="Bosch Office Sans" w:cs="Times New Roman"/>
          <w:color w:val="1D2129"/>
          <w:lang w:eastAsia="en-GB"/>
        </w:rPr>
        <w:t xml:space="preserve"> However, the Promoter will use its reasonable endeavours to minimise the effect of such amendment or termination to avoid disappointment. Any termination or amendment to the Promotion will be communicated in the same way as the Promotion was communicated. </w:t>
      </w:r>
    </w:p>
    <w:p w14:paraId="77B509C9" w14:textId="77777777" w:rsidR="00C82377" w:rsidRPr="00C82377" w:rsidRDefault="00C82377" w:rsidP="00C82377">
      <w:pPr>
        <w:pStyle w:val="ListParagraph"/>
        <w:rPr>
          <w:rFonts w:ascii="Bosch Office Sans" w:hAnsi="Bosch Office Sans"/>
        </w:rPr>
      </w:pPr>
    </w:p>
    <w:p w14:paraId="44059AE9" w14:textId="161E71F6" w:rsidR="0003017C" w:rsidRDefault="00C82377" w:rsidP="00AF3997">
      <w:pPr>
        <w:pStyle w:val="ListParagraph"/>
        <w:numPr>
          <w:ilvl w:val="0"/>
          <w:numId w:val="1"/>
        </w:numPr>
        <w:spacing w:after="120" w:line="312" w:lineRule="auto"/>
        <w:rPr>
          <w:rFonts w:ascii="Bosch Office Sans" w:hAnsi="Bosch Office Sans"/>
        </w:rPr>
      </w:pPr>
      <w:r w:rsidRPr="00C82377">
        <w:rPr>
          <w:rFonts w:ascii="Bosch Office Sans" w:hAnsi="Bosch Office Sans"/>
        </w:rPr>
        <w:t>T</w:t>
      </w:r>
      <w:r w:rsidR="0003017C" w:rsidRPr="00C82377">
        <w:rPr>
          <w:rFonts w:ascii="Bosch Office Sans" w:hAnsi="Bosch Office Sans"/>
        </w:rPr>
        <w:t>he Promotion cannot be used in conjunction with any other promotions that are run by the Promoter or any company within the Bosch group of companies.</w:t>
      </w:r>
    </w:p>
    <w:p w14:paraId="7CA0479F" w14:textId="77777777" w:rsidR="00C82377" w:rsidRPr="00C82377" w:rsidRDefault="00C82377" w:rsidP="00C82377">
      <w:pPr>
        <w:pStyle w:val="ListParagraph"/>
        <w:rPr>
          <w:rFonts w:ascii="Bosch Office Sans" w:hAnsi="Bosch Office Sans"/>
        </w:rPr>
      </w:pPr>
    </w:p>
    <w:p w14:paraId="29B14787" w14:textId="42A14B59" w:rsidR="0003017C" w:rsidRDefault="0003017C" w:rsidP="00C82377">
      <w:pPr>
        <w:pStyle w:val="ListParagraph"/>
        <w:numPr>
          <w:ilvl w:val="0"/>
          <w:numId w:val="1"/>
        </w:numPr>
        <w:spacing w:after="120" w:line="312" w:lineRule="auto"/>
        <w:rPr>
          <w:rFonts w:ascii="Bosch Office Sans" w:hAnsi="Bosch Office Sans"/>
        </w:rPr>
      </w:pPr>
      <w:r w:rsidRPr="00C82377">
        <w:rPr>
          <w:rFonts w:ascii="Bosch Office Sans" w:hAnsi="Bosch Office Sans"/>
        </w:rPr>
        <w:t xml:space="preserve">The Promoter excludes all liability </w:t>
      </w:r>
      <w:r w:rsidR="001C4235" w:rsidRPr="00C82377">
        <w:rPr>
          <w:rFonts w:ascii="Bosch Office Sans" w:hAnsi="Bosch Office Sans"/>
        </w:rPr>
        <w:t xml:space="preserve">for taxes relating to the </w:t>
      </w:r>
      <w:r w:rsidR="00AE2F3C">
        <w:rPr>
          <w:rFonts w:ascii="Bosch Office Sans" w:hAnsi="Bosch Office Sans"/>
        </w:rPr>
        <w:t>Extended Guarantee</w:t>
      </w:r>
      <w:r w:rsidRPr="00C82377">
        <w:rPr>
          <w:rFonts w:ascii="Bosch Office Sans" w:hAnsi="Bosch Office Sans"/>
        </w:rPr>
        <w:t xml:space="preserve"> and any tax liability arising </w:t>
      </w:r>
      <w:r w:rsidR="001C4235" w:rsidRPr="00C82377">
        <w:rPr>
          <w:rFonts w:ascii="Bosch Office Sans" w:hAnsi="Bosch Office Sans"/>
        </w:rPr>
        <w:t xml:space="preserve">from the provision of the </w:t>
      </w:r>
      <w:r w:rsidR="00AE2F3C">
        <w:rPr>
          <w:rFonts w:ascii="Bosch Office Sans" w:hAnsi="Bosch Office Sans"/>
        </w:rPr>
        <w:t>Extended Guarantee</w:t>
      </w:r>
      <w:r w:rsidRPr="00C82377">
        <w:rPr>
          <w:rFonts w:ascii="Bosch Office Sans" w:hAnsi="Bosch Office Sans"/>
        </w:rPr>
        <w:t xml:space="preserve"> will be the sole responsibility of the recipient of the </w:t>
      </w:r>
      <w:r w:rsidR="00AE2F3C">
        <w:rPr>
          <w:rFonts w:ascii="Bosch Office Sans" w:hAnsi="Bosch Office Sans"/>
        </w:rPr>
        <w:t>Extended Guarantee</w:t>
      </w:r>
      <w:r w:rsidRPr="00C82377">
        <w:rPr>
          <w:rFonts w:ascii="Bosch Office Sans" w:hAnsi="Bosch Office Sans"/>
        </w:rPr>
        <w:t>.</w:t>
      </w:r>
    </w:p>
    <w:p w14:paraId="415E9A0A" w14:textId="77777777" w:rsidR="00C82377" w:rsidRPr="00C82377" w:rsidRDefault="00C82377" w:rsidP="00C82377">
      <w:pPr>
        <w:pStyle w:val="ListParagraph"/>
        <w:rPr>
          <w:rFonts w:ascii="Bosch Office Sans" w:hAnsi="Bosch Office Sans"/>
        </w:rPr>
      </w:pPr>
    </w:p>
    <w:p w14:paraId="72A626CA" w14:textId="069F42B2" w:rsidR="0003017C" w:rsidRDefault="00C82377" w:rsidP="00DB1A04">
      <w:pPr>
        <w:pStyle w:val="ListParagraph"/>
        <w:numPr>
          <w:ilvl w:val="0"/>
          <w:numId w:val="1"/>
        </w:numPr>
        <w:spacing w:after="120" w:line="312" w:lineRule="auto"/>
        <w:rPr>
          <w:rFonts w:ascii="Bosch Office Sans" w:hAnsi="Bosch Office Sans"/>
        </w:rPr>
      </w:pPr>
      <w:r w:rsidRPr="00C82377">
        <w:rPr>
          <w:rFonts w:ascii="Bosch Office Sans" w:hAnsi="Bosch Office Sans"/>
        </w:rPr>
        <w:t>T</w:t>
      </w:r>
      <w:r w:rsidR="0003017C" w:rsidRPr="00C82377">
        <w:rPr>
          <w:rFonts w:ascii="Bosch Office Sans" w:hAnsi="Bosch Office Sans"/>
        </w:rPr>
        <w:t>he Promoter does not claim a</w:t>
      </w:r>
      <w:r w:rsidR="0056764B">
        <w:rPr>
          <w:rFonts w:ascii="Bosch Office Sans" w:hAnsi="Bosch Office Sans"/>
        </w:rPr>
        <w:t>ny rights of ownership in your E</w:t>
      </w:r>
      <w:r w:rsidR="0003017C" w:rsidRPr="00C82377">
        <w:rPr>
          <w:rFonts w:ascii="Bosch Office Sans" w:hAnsi="Bosch Office Sans"/>
        </w:rPr>
        <w:t>ntry, nor does the Promoter accept respon</w:t>
      </w:r>
      <w:r w:rsidR="0097783B">
        <w:rPr>
          <w:rFonts w:ascii="Bosch Office Sans" w:hAnsi="Bosch Office Sans"/>
        </w:rPr>
        <w:t>sibility for the return of any E</w:t>
      </w:r>
      <w:r w:rsidR="0003017C" w:rsidRPr="00C82377">
        <w:rPr>
          <w:rFonts w:ascii="Bosch Office Sans" w:hAnsi="Bosch Office Sans"/>
        </w:rPr>
        <w:t>ntry, including those consisting of artistic or other material.</w:t>
      </w:r>
    </w:p>
    <w:p w14:paraId="3F58E1AA" w14:textId="77777777" w:rsidR="00C82377" w:rsidRPr="00C82377" w:rsidRDefault="00C82377" w:rsidP="00C82377">
      <w:pPr>
        <w:pStyle w:val="ListParagraph"/>
        <w:rPr>
          <w:rFonts w:ascii="Bosch Office Sans" w:hAnsi="Bosch Office Sans"/>
        </w:rPr>
      </w:pPr>
    </w:p>
    <w:p w14:paraId="7A74A701" w14:textId="225929B7" w:rsidR="0003017C" w:rsidRPr="00C82377" w:rsidRDefault="00C82377" w:rsidP="006E64C3">
      <w:pPr>
        <w:pStyle w:val="ListParagraph"/>
        <w:numPr>
          <w:ilvl w:val="0"/>
          <w:numId w:val="1"/>
        </w:numPr>
        <w:spacing w:after="120" w:line="312" w:lineRule="auto"/>
        <w:rPr>
          <w:rFonts w:ascii="Bosch Office Sans" w:hAnsi="Bosch Office Sans"/>
        </w:rPr>
      </w:pPr>
      <w:r w:rsidRPr="00C82377">
        <w:rPr>
          <w:rFonts w:ascii="Bosch Office Sans" w:hAnsi="Bosch Office Sans"/>
        </w:rPr>
        <w:t>I</w:t>
      </w:r>
      <w:r w:rsidR="0003017C" w:rsidRPr="00C82377">
        <w:rPr>
          <w:rFonts w:ascii="Bosch Office Sans" w:hAnsi="Bosch Office Sans"/>
        </w:rPr>
        <w:t xml:space="preserve">f </w:t>
      </w:r>
      <w:r w:rsidR="0097783B">
        <w:rPr>
          <w:rFonts w:ascii="Bosch Office Sans" w:hAnsi="Bosch Office Sans"/>
        </w:rPr>
        <w:t>a participant does</w:t>
      </w:r>
      <w:r w:rsidR="0003017C" w:rsidRPr="00C82377">
        <w:rPr>
          <w:rFonts w:ascii="Bosch Office Sans" w:hAnsi="Bosch Office Sans"/>
        </w:rPr>
        <w:t xml:space="preserve"> not wish for </w:t>
      </w:r>
      <w:r w:rsidR="0097783B">
        <w:rPr>
          <w:rFonts w:ascii="Bosch Office Sans" w:hAnsi="Bosch Office Sans"/>
        </w:rPr>
        <w:t>their</w:t>
      </w:r>
      <w:r w:rsidR="0003017C" w:rsidRPr="00C82377">
        <w:rPr>
          <w:rFonts w:ascii="Bosch Office Sans" w:hAnsi="Bosch Office Sans"/>
        </w:rPr>
        <w:t xml:space="preserve"> details to be entered into the Promotion or if </w:t>
      </w:r>
      <w:r w:rsidR="0097783B">
        <w:rPr>
          <w:rFonts w:ascii="Bosch Office Sans" w:hAnsi="Bosch Office Sans"/>
        </w:rPr>
        <w:t>they</w:t>
      </w:r>
      <w:r w:rsidR="0003017C" w:rsidRPr="00C82377">
        <w:rPr>
          <w:rFonts w:ascii="Bosch Office Sans" w:hAnsi="Bosch Office Sans"/>
        </w:rPr>
        <w:t xml:space="preserve"> opt out but then wish to re-enter, </w:t>
      </w:r>
      <w:r w:rsidR="0097783B">
        <w:rPr>
          <w:rFonts w:ascii="Bosch Office Sans" w:hAnsi="Bosch Office Sans"/>
        </w:rPr>
        <w:t>they</w:t>
      </w:r>
      <w:r w:rsidR="0003017C" w:rsidRPr="00C82377">
        <w:rPr>
          <w:rFonts w:ascii="Bosch Office Sans" w:hAnsi="Bosch Office Sans"/>
        </w:rPr>
        <w:t xml:space="preserve"> can advise the Promoter by writing to </w:t>
      </w:r>
      <w:r w:rsidR="0097783B">
        <w:rPr>
          <w:rFonts w:ascii="Bosch Office Sans" w:hAnsi="Bosch Office Sans"/>
        </w:rPr>
        <w:t>it</w:t>
      </w:r>
      <w:r w:rsidR="00166DDC" w:rsidRPr="00C82377">
        <w:rPr>
          <w:rFonts w:ascii="Bosch Office Sans" w:hAnsi="Bosch Office Sans"/>
        </w:rPr>
        <w:t xml:space="preserve">s </w:t>
      </w:r>
      <w:r w:rsidR="0003017C" w:rsidRPr="00C82377">
        <w:rPr>
          <w:rFonts w:ascii="Bosch Office Sans" w:hAnsi="Bosch Office Sans"/>
        </w:rPr>
        <w:t xml:space="preserve">address set out in </w:t>
      </w:r>
      <w:r w:rsidR="0097783B">
        <w:rPr>
          <w:rFonts w:ascii="Bosch Office Sans" w:hAnsi="Bosch Office Sans"/>
        </w:rPr>
        <w:t>clause 2</w:t>
      </w:r>
      <w:r w:rsidR="0003017C" w:rsidRPr="00C82377">
        <w:rPr>
          <w:rFonts w:ascii="Bosch Office Sans" w:hAnsi="Bosch Office Sans"/>
        </w:rPr>
        <w:t xml:space="preserve">, </w:t>
      </w:r>
      <w:r w:rsidR="0003017C" w:rsidRPr="0097783B">
        <w:rPr>
          <w:rFonts w:ascii="Bosch Office Sans" w:hAnsi="Bosch Office Sans"/>
        </w:rPr>
        <w:t xml:space="preserve">or by email to: </w:t>
      </w:r>
      <w:hyperlink r:id="rId7" w:history="1">
        <w:r w:rsidR="00166DDC" w:rsidRPr="0097783B">
          <w:rPr>
            <w:rStyle w:val="Hyperlink"/>
            <w:rFonts w:ascii="Bosch Office Sans" w:hAnsi="Bosch Office Sans"/>
          </w:rPr>
          <w:t>Marketing.Wo@uk.bosch.com</w:t>
        </w:r>
      </w:hyperlink>
      <w:r w:rsidR="0003017C" w:rsidRPr="00C82377">
        <w:rPr>
          <w:rFonts w:ascii="Bosch Office Sans" w:hAnsi="Bosch Office Sans"/>
        </w:rPr>
        <w:t>.</w:t>
      </w:r>
    </w:p>
    <w:p w14:paraId="6837CECB" w14:textId="77777777" w:rsidR="00166DDC" w:rsidRPr="00C82377" w:rsidRDefault="00166DDC" w:rsidP="00C82377">
      <w:pPr>
        <w:pStyle w:val="ListParagraph"/>
        <w:spacing w:after="120" w:line="312" w:lineRule="auto"/>
        <w:rPr>
          <w:rFonts w:ascii="Bosch Office Sans" w:hAnsi="Bosch Office Sans"/>
        </w:rPr>
      </w:pPr>
    </w:p>
    <w:p w14:paraId="76D50807" w14:textId="4CC7BB24" w:rsidR="00AE2F3C" w:rsidRDefault="00A80CE8" w:rsidP="00AE2F3C">
      <w:pPr>
        <w:pStyle w:val="ListParagraph"/>
        <w:numPr>
          <w:ilvl w:val="0"/>
          <w:numId w:val="1"/>
        </w:numPr>
        <w:spacing w:after="120" w:line="312" w:lineRule="auto"/>
        <w:rPr>
          <w:rFonts w:ascii="Bosch Office Sans" w:hAnsi="Bosch Office Sans"/>
        </w:rPr>
      </w:pPr>
      <w:r>
        <w:rPr>
          <w:rFonts w:ascii="Bosch Office Sans" w:eastAsia="Times New Roman" w:hAnsi="Bosch Office Sans" w:cs="Times New Roman"/>
          <w:color w:val="1D2129"/>
          <w:lang w:eastAsia="en-GB"/>
        </w:rPr>
        <w:t xml:space="preserve">The Promoter </w:t>
      </w:r>
      <w:r w:rsidR="00223FC0" w:rsidRPr="00C82377">
        <w:rPr>
          <w:rFonts w:ascii="Bosch Office Sans" w:eastAsia="Times New Roman" w:hAnsi="Bosch Office Sans" w:cs="Times New Roman"/>
          <w:color w:val="1D2129"/>
          <w:lang w:eastAsia="en-GB"/>
        </w:rPr>
        <w:t>will process the participants’ personal data on the Promoter’s behalf</w:t>
      </w:r>
      <w:r w:rsidR="00166DDC" w:rsidRPr="00C82377">
        <w:rPr>
          <w:rFonts w:ascii="Bosch Office Sans" w:eastAsia="Times New Roman" w:hAnsi="Bosch Office Sans" w:cs="Times New Roman"/>
          <w:color w:val="1D2129"/>
          <w:lang w:eastAsia="en-GB"/>
        </w:rPr>
        <w:t xml:space="preserve"> for the purposes of the Promotion and complying with </w:t>
      </w:r>
      <w:r>
        <w:rPr>
          <w:rFonts w:ascii="Bosch Office Sans" w:eastAsia="Times New Roman" w:hAnsi="Bosch Office Sans" w:cs="Times New Roman"/>
          <w:color w:val="1D2129"/>
          <w:lang w:eastAsia="en-GB"/>
        </w:rPr>
        <w:t xml:space="preserve">its </w:t>
      </w:r>
      <w:r w:rsidR="00166DDC" w:rsidRPr="00C82377">
        <w:rPr>
          <w:rFonts w:ascii="Bosch Office Sans" w:eastAsia="Times New Roman" w:hAnsi="Bosch Office Sans" w:cs="Times New Roman"/>
          <w:color w:val="1D2129"/>
          <w:lang w:eastAsia="en-GB"/>
        </w:rPr>
        <w:t xml:space="preserve">delivery commitments. The </w:t>
      </w:r>
      <w:r>
        <w:rPr>
          <w:rFonts w:ascii="Bosch Office Sans" w:eastAsia="Times New Roman" w:hAnsi="Bosch Office Sans" w:cs="Times New Roman"/>
          <w:color w:val="1D2129"/>
          <w:lang w:eastAsia="en-GB"/>
        </w:rPr>
        <w:t xml:space="preserve">Promoter’s </w:t>
      </w:r>
      <w:r w:rsidR="00166DDC" w:rsidRPr="00C82377">
        <w:rPr>
          <w:rFonts w:ascii="Bosch Office Sans" w:eastAsia="Times New Roman" w:hAnsi="Bosch Office Sans" w:cs="Times New Roman"/>
          <w:color w:val="1D2129"/>
          <w:lang w:eastAsia="en-GB"/>
        </w:rPr>
        <w:t xml:space="preserve">legal basis for processing the personal data is that the processing is carried out for </w:t>
      </w:r>
      <w:r w:rsidR="00223FC0" w:rsidRPr="00C82377">
        <w:rPr>
          <w:rFonts w:ascii="Bosch Office Sans" w:eastAsia="Times New Roman" w:hAnsi="Bosch Office Sans" w:cs="Times New Roman"/>
          <w:color w:val="1D2129"/>
          <w:lang w:eastAsia="en-GB"/>
        </w:rPr>
        <w:t xml:space="preserve">the </w:t>
      </w:r>
      <w:r w:rsidR="00166DDC" w:rsidRPr="00C82377">
        <w:rPr>
          <w:rFonts w:ascii="Bosch Office Sans" w:eastAsia="Times New Roman" w:hAnsi="Bosch Office Sans" w:cs="Times New Roman"/>
          <w:color w:val="1D2129"/>
          <w:lang w:eastAsia="en-GB"/>
        </w:rPr>
        <w:t>legitimate business interests in connection with the Promotion and</w:t>
      </w:r>
      <w:r w:rsidR="00223FC0" w:rsidRPr="00C82377">
        <w:rPr>
          <w:rFonts w:ascii="Bosch Office Sans" w:eastAsia="Times New Roman" w:hAnsi="Bosch Office Sans" w:cs="Times New Roman"/>
          <w:color w:val="1D2129"/>
          <w:lang w:eastAsia="en-GB"/>
        </w:rPr>
        <w:t>, if applicable,</w:t>
      </w:r>
      <w:r w:rsidR="00166DDC" w:rsidRPr="00C82377">
        <w:rPr>
          <w:rFonts w:ascii="Bosch Office Sans" w:eastAsia="Times New Roman" w:hAnsi="Bosch Office Sans" w:cs="Times New Roman"/>
          <w:color w:val="1D2129"/>
          <w:lang w:eastAsia="en-GB"/>
        </w:rPr>
        <w:t xml:space="preserve"> supply of the chosen products. </w:t>
      </w:r>
      <w:r>
        <w:rPr>
          <w:rFonts w:ascii="Bosch Office Sans" w:eastAsia="Times New Roman" w:hAnsi="Bosch Office Sans" w:cs="Times New Roman"/>
          <w:color w:val="1D2129"/>
          <w:lang w:eastAsia="en-GB"/>
        </w:rPr>
        <w:t>The Promoter</w:t>
      </w:r>
      <w:r w:rsidR="00166DDC" w:rsidRPr="00C82377">
        <w:rPr>
          <w:rFonts w:ascii="Bosch Office Sans" w:eastAsia="Times New Roman" w:hAnsi="Bosch Office Sans" w:cs="Times New Roman"/>
          <w:color w:val="1D2129"/>
          <w:lang w:eastAsia="en-GB"/>
        </w:rPr>
        <w:t xml:space="preserve"> will not process the participants’ personal data for other purposes unless </w:t>
      </w:r>
      <w:r w:rsidR="00223FC0" w:rsidRPr="00C82377">
        <w:rPr>
          <w:rFonts w:ascii="Bosch Office Sans" w:eastAsia="Times New Roman" w:hAnsi="Bosch Office Sans" w:cs="Times New Roman"/>
          <w:color w:val="1D2129"/>
          <w:lang w:eastAsia="en-GB"/>
        </w:rPr>
        <w:t>they</w:t>
      </w:r>
      <w:r w:rsidR="00166DDC" w:rsidRPr="00C82377">
        <w:rPr>
          <w:rFonts w:ascii="Bosch Office Sans" w:eastAsia="Times New Roman" w:hAnsi="Bosch Office Sans" w:cs="Times New Roman"/>
          <w:color w:val="1D2129"/>
          <w:lang w:eastAsia="en-GB"/>
        </w:rPr>
        <w:t xml:space="preserve"> ha</w:t>
      </w:r>
      <w:r w:rsidR="00223FC0" w:rsidRPr="00C82377">
        <w:rPr>
          <w:rFonts w:ascii="Bosch Office Sans" w:eastAsia="Times New Roman" w:hAnsi="Bosch Office Sans" w:cs="Times New Roman"/>
          <w:color w:val="1D2129"/>
          <w:lang w:eastAsia="en-GB"/>
        </w:rPr>
        <w:t>ve</w:t>
      </w:r>
      <w:r w:rsidR="00166DDC" w:rsidRPr="00C82377">
        <w:rPr>
          <w:rFonts w:ascii="Bosch Office Sans" w:eastAsia="Times New Roman" w:hAnsi="Bosch Office Sans" w:cs="Times New Roman"/>
          <w:color w:val="1D2129"/>
          <w:lang w:eastAsia="en-GB"/>
        </w:rPr>
        <w:t xml:space="preserve"> a legal basis for doing so. The Promoter</w:t>
      </w:r>
      <w:r w:rsidR="0049572E" w:rsidRPr="00C82377">
        <w:rPr>
          <w:rFonts w:ascii="Bosch Office Sans" w:eastAsia="Times New Roman" w:hAnsi="Bosch Office Sans" w:cs="Times New Roman"/>
          <w:color w:val="1D2129"/>
          <w:lang w:eastAsia="en-GB"/>
        </w:rPr>
        <w:t xml:space="preserve"> </w:t>
      </w:r>
      <w:r w:rsidR="00166DDC" w:rsidRPr="00C82377">
        <w:rPr>
          <w:rFonts w:ascii="Bosch Office Sans" w:eastAsia="Times New Roman" w:hAnsi="Bosch Office Sans" w:cs="Times New Roman"/>
          <w:color w:val="1D2129"/>
          <w:lang w:eastAsia="en-GB"/>
        </w:rPr>
        <w:t>handle</w:t>
      </w:r>
      <w:r>
        <w:rPr>
          <w:rFonts w:ascii="Bosch Office Sans" w:eastAsia="Times New Roman" w:hAnsi="Bosch Office Sans" w:cs="Times New Roman"/>
          <w:color w:val="1D2129"/>
          <w:lang w:eastAsia="en-GB"/>
        </w:rPr>
        <w:t>s</w:t>
      </w:r>
      <w:r w:rsidR="00166DDC" w:rsidRPr="00C82377">
        <w:rPr>
          <w:rFonts w:ascii="Bosch Office Sans" w:eastAsia="Times New Roman" w:hAnsi="Bosch Office Sans" w:cs="Times New Roman"/>
          <w:color w:val="1D2129"/>
          <w:lang w:eastAsia="en-GB"/>
        </w:rPr>
        <w:t xml:space="preserve"> the participants’ personal information in a secure and confidential manner and always in accordance with the law, including the General Data Protection Regulation (2016) and applicable UK law. </w:t>
      </w:r>
      <w:r>
        <w:rPr>
          <w:rFonts w:ascii="Bosch Office Sans" w:eastAsia="Times New Roman" w:hAnsi="Bosch Office Sans" w:cs="Times New Roman"/>
          <w:color w:val="1D2129"/>
          <w:lang w:eastAsia="en-GB"/>
        </w:rPr>
        <w:t>It</w:t>
      </w:r>
      <w:r w:rsidR="00166DDC" w:rsidRPr="00C82377">
        <w:rPr>
          <w:rFonts w:ascii="Bosch Office Sans" w:eastAsia="Times New Roman" w:hAnsi="Bosch Office Sans" w:cs="Times New Roman"/>
          <w:color w:val="1D2129"/>
          <w:lang w:eastAsia="en-GB"/>
        </w:rPr>
        <w:t xml:space="preserve"> will n</w:t>
      </w:r>
      <w:r w:rsidR="0049572E" w:rsidRPr="00C82377">
        <w:rPr>
          <w:rFonts w:ascii="Bosch Office Sans" w:eastAsia="Times New Roman" w:hAnsi="Bosch Office Sans" w:cs="Times New Roman"/>
          <w:color w:val="1D2129"/>
          <w:lang w:eastAsia="en-GB"/>
        </w:rPr>
        <w:t>ot</w:t>
      </w:r>
      <w:r w:rsidR="00166DDC" w:rsidRPr="00C82377">
        <w:rPr>
          <w:rFonts w:ascii="Bosch Office Sans" w:eastAsia="Times New Roman" w:hAnsi="Bosch Office Sans" w:cs="Times New Roman"/>
          <w:color w:val="1D2129"/>
          <w:lang w:eastAsia="en-GB"/>
        </w:rPr>
        <w:t xml:space="preserve"> disclose the participants’ personal information to third parties unless there is a legal basis for this. The law provides the participants with rights in relation to their personal information. To find out more about this and about how the Promoter handles personal information in accordance with the law, please take a look at the Privacy Policy on the Promoter’s website which is updated from time to time as legal requirements change: </w:t>
      </w:r>
      <w:hyperlink r:id="rId8" w:history="1">
        <w:r w:rsidR="00AE2F3C">
          <w:rPr>
            <w:rStyle w:val="Hyperlink"/>
            <w:rFonts w:ascii="Bosch Office Sans" w:hAnsi="Bosch Office Sans"/>
          </w:rPr>
          <w:t>https://show-policy.ttprivacy.com/b801db4e-96cb-49f1-9ed2-d977ceb23278</w:t>
        </w:r>
      </w:hyperlink>
      <w:r w:rsidR="00AE2F3C">
        <w:rPr>
          <w:rFonts w:ascii="Bosch Office Sans" w:hAnsi="Bosch Office Sans"/>
        </w:rPr>
        <w:t xml:space="preserve">. </w:t>
      </w:r>
    </w:p>
    <w:p w14:paraId="7D3FCF4D" w14:textId="77777777" w:rsidR="00C82377" w:rsidRPr="00C82377" w:rsidRDefault="00C82377" w:rsidP="00C82377">
      <w:pPr>
        <w:pStyle w:val="ListParagraph"/>
        <w:spacing w:after="120" w:line="312" w:lineRule="auto"/>
        <w:rPr>
          <w:rFonts w:ascii="Bosch Office Sans" w:hAnsi="Bosch Office Sans"/>
        </w:rPr>
      </w:pPr>
    </w:p>
    <w:p w14:paraId="6405D7B6" w14:textId="6B0900E6" w:rsidR="006156C2" w:rsidRDefault="00C82377" w:rsidP="00407F35">
      <w:pPr>
        <w:pStyle w:val="ListParagraph"/>
        <w:numPr>
          <w:ilvl w:val="0"/>
          <w:numId w:val="1"/>
        </w:numPr>
        <w:spacing w:after="120" w:line="312" w:lineRule="auto"/>
        <w:rPr>
          <w:rFonts w:ascii="Bosch Office Sans" w:hAnsi="Bosch Office Sans"/>
        </w:rPr>
      </w:pPr>
      <w:r w:rsidRPr="00C82377">
        <w:rPr>
          <w:rFonts w:ascii="Bosch Office Sans" w:hAnsi="Bosch Office Sans"/>
        </w:rPr>
        <w:t>T</w:t>
      </w:r>
      <w:r w:rsidR="0003017C" w:rsidRPr="00C82377">
        <w:rPr>
          <w:rFonts w:ascii="Bosch Office Sans" w:hAnsi="Bosch Office Sans"/>
        </w:rPr>
        <w:t>he Promotion will be governed by the laws of England and Wales and the courts of England and Wales shall have the exclusive jurisdiction to settle any dispute or claim arising out of or in connection with the Promotion.</w:t>
      </w:r>
    </w:p>
    <w:p w14:paraId="6A711FB6" w14:textId="77777777" w:rsidR="00AE0C22" w:rsidRDefault="00AE0C22">
      <w:pPr>
        <w:rPr>
          <w:rFonts w:ascii="Bosch Office Sans" w:hAnsi="Bosch Office Sans"/>
          <w:b/>
          <w:bCs/>
        </w:rPr>
      </w:pPr>
      <w:r>
        <w:rPr>
          <w:rFonts w:ascii="Bosch Office Sans" w:hAnsi="Bosch Office Sans"/>
          <w:b/>
          <w:bCs/>
        </w:rPr>
        <w:br w:type="page"/>
      </w:r>
    </w:p>
    <w:p w14:paraId="53746FAA" w14:textId="0FA5E5E4" w:rsidR="00AE0C22" w:rsidRPr="00AE0C22" w:rsidRDefault="00AE0C22" w:rsidP="00AE0C22">
      <w:pPr>
        <w:spacing w:after="120" w:line="312" w:lineRule="auto"/>
        <w:rPr>
          <w:rFonts w:ascii="Bosch Office Sans" w:hAnsi="Bosch Office Sans"/>
          <w:b/>
          <w:bCs/>
        </w:rPr>
      </w:pPr>
      <w:r w:rsidRPr="00AE0C22">
        <w:rPr>
          <w:rFonts w:ascii="Bosch Office Sans" w:hAnsi="Bosch Office Sans"/>
          <w:b/>
          <w:bCs/>
        </w:rPr>
        <w:lastRenderedPageBreak/>
        <w:t>Annex: Table</w:t>
      </w:r>
    </w:p>
    <w:p w14:paraId="3ED4154D" w14:textId="6941F7FF" w:rsidR="00AE0C22" w:rsidRDefault="00AE0C22" w:rsidP="00AE0C22">
      <w:pPr>
        <w:spacing w:after="120" w:line="312" w:lineRule="auto"/>
        <w:rPr>
          <w:rFonts w:ascii="Bosch Office Sans" w:hAnsi="Bosch Office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258"/>
        <w:gridCol w:w="2258"/>
        <w:gridCol w:w="2240"/>
      </w:tblGrid>
      <w:tr w:rsidR="00AE0C22" w:rsidRPr="002C608D" w14:paraId="6A11485E" w14:textId="77777777" w:rsidTr="005B5C62">
        <w:tc>
          <w:tcPr>
            <w:tcW w:w="1253" w:type="pct"/>
            <w:shd w:val="clear" w:color="auto" w:fill="FFFFFF"/>
          </w:tcPr>
          <w:p w14:paraId="73BBED38" w14:textId="5A454507" w:rsidR="00AE0C22" w:rsidRPr="002C608D" w:rsidRDefault="00AE0C22" w:rsidP="008C368E">
            <w:pPr>
              <w:jc w:val="both"/>
              <w:rPr>
                <w:rFonts w:ascii="Arial" w:hAnsi="Arial" w:cs="Arial"/>
                <w:b/>
                <w:bCs/>
                <w:sz w:val="20"/>
                <w:szCs w:val="20"/>
              </w:rPr>
            </w:pPr>
            <w:r>
              <w:rPr>
                <w:rFonts w:ascii="Arial" w:hAnsi="Arial" w:cs="Arial"/>
                <w:b/>
                <w:bCs/>
                <w:sz w:val="20"/>
                <w:szCs w:val="20"/>
              </w:rPr>
              <w:t>Column 1</w:t>
            </w:r>
          </w:p>
        </w:tc>
        <w:tc>
          <w:tcPr>
            <w:tcW w:w="1252" w:type="pct"/>
            <w:shd w:val="clear" w:color="auto" w:fill="FFFFFF"/>
          </w:tcPr>
          <w:p w14:paraId="0B887994" w14:textId="78F1A975" w:rsidR="00AE0C22" w:rsidRPr="002C608D" w:rsidRDefault="00AE0C22" w:rsidP="008C368E">
            <w:pPr>
              <w:jc w:val="both"/>
              <w:rPr>
                <w:rFonts w:ascii="Arial" w:hAnsi="Arial" w:cs="Arial"/>
                <w:b/>
                <w:bCs/>
                <w:sz w:val="20"/>
                <w:szCs w:val="20"/>
              </w:rPr>
            </w:pPr>
            <w:r>
              <w:rPr>
                <w:rFonts w:ascii="Arial" w:hAnsi="Arial" w:cs="Arial"/>
                <w:b/>
                <w:bCs/>
                <w:sz w:val="20"/>
                <w:szCs w:val="20"/>
              </w:rPr>
              <w:t>Column 2</w:t>
            </w:r>
          </w:p>
        </w:tc>
        <w:tc>
          <w:tcPr>
            <w:tcW w:w="1252" w:type="pct"/>
            <w:shd w:val="clear" w:color="auto" w:fill="FFFFFF"/>
          </w:tcPr>
          <w:p w14:paraId="0DACDC8A" w14:textId="7E67F6D4" w:rsidR="00AE0C22" w:rsidRPr="002C608D" w:rsidRDefault="00AE0C22" w:rsidP="008C368E">
            <w:pPr>
              <w:jc w:val="both"/>
              <w:rPr>
                <w:rFonts w:ascii="Arial" w:hAnsi="Arial" w:cs="Arial"/>
                <w:b/>
                <w:bCs/>
                <w:sz w:val="20"/>
                <w:szCs w:val="20"/>
              </w:rPr>
            </w:pPr>
            <w:r>
              <w:rPr>
                <w:rFonts w:ascii="Arial" w:hAnsi="Arial" w:cs="Arial"/>
                <w:b/>
                <w:bCs/>
                <w:sz w:val="20"/>
                <w:szCs w:val="20"/>
              </w:rPr>
              <w:t>Column 3</w:t>
            </w:r>
          </w:p>
        </w:tc>
        <w:tc>
          <w:tcPr>
            <w:tcW w:w="1242" w:type="pct"/>
            <w:shd w:val="clear" w:color="auto" w:fill="FFFFFF"/>
          </w:tcPr>
          <w:p w14:paraId="3B954F55" w14:textId="622A01F5" w:rsidR="00AE0C22" w:rsidRPr="002C608D" w:rsidRDefault="00AE0C22" w:rsidP="008C368E">
            <w:pPr>
              <w:jc w:val="both"/>
              <w:rPr>
                <w:rFonts w:ascii="Arial" w:hAnsi="Arial" w:cs="Arial"/>
                <w:b/>
                <w:bCs/>
                <w:sz w:val="20"/>
                <w:szCs w:val="20"/>
              </w:rPr>
            </w:pPr>
            <w:r>
              <w:rPr>
                <w:rFonts w:ascii="Arial" w:hAnsi="Arial" w:cs="Arial"/>
                <w:b/>
                <w:bCs/>
                <w:sz w:val="20"/>
                <w:szCs w:val="20"/>
              </w:rPr>
              <w:t>Column 4</w:t>
            </w:r>
          </w:p>
        </w:tc>
      </w:tr>
      <w:tr w:rsidR="00AE0C22" w:rsidRPr="002C608D" w14:paraId="20622626" w14:textId="77777777" w:rsidTr="005B5C62">
        <w:tc>
          <w:tcPr>
            <w:tcW w:w="1253" w:type="pct"/>
            <w:shd w:val="clear" w:color="auto" w:fill="FFFFFF"/>
          </w:tcPr>
          <w:p w14:paraId="365F28E2" w14:textId="62EE18E7" w:rsidR="00AE0C22" w:rsidRPr="00DD3CFA" w:rsidRDefault="00AE0C22" w:rsidP="00AE0C22">
            <w:pPr>
              <w:jc w:val="both"/>
              <w:rPr>
                <w:rFonts w:ascii="Arial" w:hAnsi="Arial" w:cs="Arial"/>
                <w:b/>
                <w:bCs/>
                <w:sz w:val="20"/>
                <w:szCs w:val="20"/>
              </w:rPr>
            </w:pPr>
            <w:r>
              <w:rPr>
                <w:rFonts w:ascii="Arial" w:hAnsi="Arial" w:cs="Arial"/>
                <w:b/>
                <w:bCs/>
                <w:sz w:val="20"/>
                <w:szCs w:val="20"/>
              </w:rPr>
              <w:t>Qualifying Product</w:t>
            </w:r>
          </w:p>
        </w:tc>
        <w:tc>
          <w:tcPr>
            <w:tcW w:w="1252" w:type="pct"/>
            <w:shd w:val="clear" w:color="auto" w:fill="FFFFFF"/>
          </w:tcPr>
          <w:p w14:paraId="7BB040FC" w14:textId="38E5CCEE" w:rsidR="00AE0C22" w:rsidRPr="00DD3CFA" w:rsidRDefault="00AE0C22" w:rsidP="00AE0C22">
            <w:pPr>
              <w:jc w:val="both"/>
              <w:rPr>
                <w:rFonts w:ascii="Arial" w:hAnsi="Arial" w:cs="Arial"/>
                <w:b/>
                <w:bCs/>
                <w:sz w:val="20"/>
                <w:szCs w:val="20"/>
              </w:rPr>
            </w:pPr>
            <w:r w:rsidRPr="002C608D">
              <w:rPr>
                <w:rFonts w:ascii="Arial" w:hAnsi="Arial" w:cs="Arial"/>
                <w:b/>
                <w:bCs/>
                <w:sz w:val="20"/>
                <w:szCs w:val="20"/>
              </w:rPr>
              <w:t>Standard Guarantee</w:t>
            </w:r>
            <w:r>
              <w:rPr>
                <w:rFonts w:ascii="Arial" w:hAnsi="Arial" w:cs="Arial"/>
                <w:b/>
                <w:bCs/>
                <w:sz w:val="20"/>
                <w:szCs w:val="20"/>
              </w:rPr>
              <w:t xml:space="preserve"> duration (in years)</w:t>
            </w:r>
          </w:p>
        </w:tc>
        <w:tc>
          <w:tcPr>
            <w:tcW w:w="1252" w:type="pct"/>
            <w:shd w:val="clear" w:color="auto" w:fill="FFFFFF"/>
          </w:tcPr>
          <w:p w14:paraId="33BA106A" w14:textId="2E7DFCDE" w:rsidR="00AE0C22" w:rsidRPr="00DD3CFA" w:rsidRDefault="00AE0C22" w:rsidP="00AE0C22">
            <w:pPr>
              <w:jc w:val="both"/>
              <w:rPr>
                <w:rFonts w:ascii="Arial" w:hAnsi="Arial" w:cs="Arial"/>
                <w:b/>
                <w:bCs/>
                <w:sz w:val="20"/>
                <w:szCs w:val="20"/>
              </w:rPr>
            </w:pPr>
            <w:r>
              <w:rPr>
                <w:rFonts w:ascii="Arial" w:hAnsi="Arial" w:cs="Arial"/>
                <w:b/>
                <w:bCs/>
                <w:sz w:val="20"/>
                <w:szCs w:val="20"/>
              </w:rPr>
              <w:t xml:space="preserve">Extended </w:t>
            </w:r>
            <w:r w:rsidRPr="002C608D">
              <w:rPr>
                <w:rFonts w:ascii="Arial" w:hAnsi="Arial" w:cs="Arial"/>
                <w:b/>
                <w:bCs/>
                <w:sz w:val="20"/>
                <w:szCs w:val="20"/>
              </w:rPr>
              <w:t xml:space="preserve">Guarantee </w:t>
            </w:r>
            <w:r>
              <w:rPr>
                <w:rFonts w:ascii="Arial" w:hAnsi="Arial" w:cs="Arial"/>
                <w:b/>
                <w:bCs/>
                <w:sz w:val="20"/>
                <w:szCs w:val="20"/>
              </w:rPr>
              <w:t>duration (in years)</w:t>
            </w:r>
          </w:p>
        </w:tc>
        <w:tc>
          <w:tcPr>
            <w:tcW w:w="1242" w:type="pct"/>
            <w:shd w:val="clear" w:color="auto" w:fill="FFFFFF"/>
          </w:tcPr>
          <w:p w14:paraId="04147892" w14:textId="3AE251E5" w:rsidR="00AE0C22" w:rsidRPr="00DD3CFA" w:rsidRDefault="00AE0C22" w:rsidP="00AE0C22">
            <w:pPr>
              <w:jc w:val="both"/>
              <w:rPr>
                <w:rFonts w:ascii="Arial" w:hAnsi="Arial" w:cs="Arial"/>
                <w:b/>
                <w:bCs/>
                <w:sz w:val="20"/>
                <w:szCs w:val="20"/>
              </w:rPr>
            </w:pPr>
            <w:r>
              <w:rPr>
                <w:rFonts w:ascii="Arial" w:hAnsi="Arial" w:cs="Arial"/>
                <w:b/>
                <w:bCs/>
                <w:sz w:val="20"/>
                <w:szCs w:val="20"/>
              </w:rPr>
              <w:t xml:space="preserve">Extended </w:t>
            </w:r>
            <w:r w:rsidRPr="002C608D">
              <w:rPr>
                <w:rFonts w:ascii="Arial" w:hAnsi="Arial" w:cs="Arial"/>
                <w:b/>
                <w:bCs/>
                <w:sz w:val="20"/>
                <w:szCs w:val="20"/>
              </w:rPr>
              <w:t>Guarantee</w:t>
            </w:r>
            <w:r>
              <w:rPr>
                <w:rFonts w:ascii="Arial" w:hAnsi="Arial" w:cs="Arial"/>
                <w:b/>
                <w:bCs/>
                <w:sz w:val="20"/>
                <w:szCs w:val="20"/>
              </w:rPr>
              <w:t xml:space="preserve"> duration (in years)</w:t>
            </w:r>
            <w:r w:rsidRPr="002C608D">
              <w:rPr>
                <w:rFonts w:ascii="Arial" w:hAnsi="Arial" w:cs="Arial"/>
                <w:b/>
                <w:bCs/>
                <w:sz w:val="20"/>
                <w:szCs w:val="20"/>
              </w:rPr>
              <w:t xml:space="preserve"> </w:t>
            </w:r>
            <w:r>
              <w:rPr>
                <w:rFonts w:ascii="Arial" w:hAnsi="Arial" w:cs="Arial"/>
                <w:b/>
                <w:bCs/>
                <w:sz w:val="20"/>
                <w:szCs w:val="20"/>
              </w:rPr>
              <w:t xml:space="preserve">with </w:t>
            </w:r>
            <w:r w:rsidRPr="002C608D">
              <w:rPr>
                <w:rFonts w:ascii="Arial" w:hAnsi="Arial" w:cs="Arial"/>
                <w:b/>
                <w:bCs/>
                <w:sz w:val="20"/>
                <w:szCs w:val="20"/>
              </w:rPr>
              <w:t>£150 upgrade payment</w:t>
            </w:r>
            <w:r w:rsidR="000748C4">
              <w:rPr>
                <w:rFonts w:ascii="Arial" w:hAnsi="Arial" w:cs="Arial"/>
                <w:b/>
                <w:bCs/>
                <w:sz w:val="20"/>
                <w:szCs w:val="20"/>
              </w:rPr>
              <w:t xml:space="preserve"> (£40 instead of £150 </w:t>
            </w:r>
            <w:r w:rsidR="005B5C62">
              <w:rPr>
                <w:rFonts w:ascii="Bosch Office Sans" w:hAnsi="Bosch Office Sans"/>
              </w:rPr>
              <w:t xml:space="preserve">in the period 1 </w:t>
            </w:r>
            <w:r w:rsidR="00784D13">
              <w:rPr>
                <w:rFonts w:ascii="Bosch Office Sans" w:hAnsi="Bosch Office Sans"/>
              </w:rPr>
              <w:t>January</w:t>
            </w:r>
            <w:r w:rsidR="005B5C62">
              <w:rPr>
                <w:rFonts w:ascii="Bosch Office Sans" w:hAnsi="Bosch Office Sans"/>
              </w:rPr>
              <w:t xml:space="preserve"> 202</w:t>
            </w:r>
            <w:r w:rsidR="00784D13">
              <w:rPr>
                <w:rFonts w:ascii="Bosch Office Sans" w:hAnsi="Bosch Office Sans"/>
              </w:rPr>
              <w:t>4</w:t>
            </w:r>
            <w:r w:rsidR="005B5C62">
              <w:rPr>
                <w:rFonts w:ascii="Bosch Office Sans" w:hAnsi="Bosch Office Sans"/>
              </w:rPr>
              <w:t xml:space="preserve"> –</w:t>
            </w:r>
            <w:r w:rsidR="00DC50D0">
              <w:rPr>
                <w:rFonts w:ascii="Bosch Office Sans" w:hAnsi="Bosch Office Sans"/>
              </w:rPr>
              <w:t>31 December</w:t>
            </w:r>
            <w:r w:rsidR="005B5C62">
              <w:rPr>
                <w:rFonts w:ascii="Bosch Office Sans" w:hAnsi="Bosch Office Sans"/>
              </w:rPr>
              <w:t>202</w:t>
            </w:r>
            <w:r w:rsidR="00784D13">
              <w:rPr>
                <w:rFonts w:ascii="Bosch Office Sans" w:hAnsi="Bosch Office Sans"/>
              </w:rPr>
              <w:t>4</w:t>
            </w:r>
            <w:r w:rsidR="005B5C62">
              <w:rPr>
                <w:rFonts w:ascii="Bosch Office Sans" w:hAnsi="Bosch Office Sans"/>
              </w:rPr>
              <w:t xml:space="preserve"> (inclusive)</w:t>
            </w:r>
            <w:r w:rsidR="000748C4">
              <w:rPr>
                <w:rFonts w:ascii="Arial" w:hAnsi="Arial" w:cs="Arial"/>
                <w:b/>
                <w:bCs/>
                <w:sz w:val="20"/>
                <w:szCs w:val="20"/>
              </w:rPr>
              <w:t>)</w:t>
            </w:r>
          </w:p>
        </w:tc>
      </w:tr>
      <w:tr w:rsidR="00AE0C22" w:rsidRPr="002C608D" w14:paraId="2CB6C41B" w14:textId="77777777" w:rsidTr="005B5C62">
        <w:tc>
          <w:tcPr>
            <w:tcW w:w="1253" w:type="pct"/>
            <w:shd w:val="clear" w:color="auto" w:fill="FFFFFF"/>
          </w:tcPr>
          <w:p w14:paraId="705E409D"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Greenstar 8000</w:t>
            </w:r>
          </w:p>
        </w:tc>
        <w:tc>
          <w:tcPr>
            <w:tcW w:w="1252" w:type="pct"/>
            <w:shd w:val="clear" w:color="auto" w:fill="FFFFFF"/>
          </w:tcPr>
          <w:p w14:paraId="6AE1CBCE" w14:textId="3F3C7530" w:rsidR="00AE0C22" w:rsidRPr="002C608D" w:rsidRDefault="00AE0C22" w:rsidP="00AE0C22">
            <w:pPr>
              <w:jc w:val="both"/>
              <w:rPr>
                <w:rFonts w:ascii="Arial" w:hAnsi="Arial" w:cs="Arial"/>
                <w:sz w:val="20"/>
                <w:szCs w:val="20"/>
              </w:rPr>
            </w:pPr>
            <w:r w:rsidRPr="002C608D">
              <w:rPr>
                <w:rFonts w:ascii="Arial" w:hAnsi="Arial" w:cs="Arial"/>
                <w:sz w:val="20"/>
                <w:szCs w:val="20"/>
              </w:rPr>
              <w:t>8</w:t>
            </w:r>
            <w:r>
              <w:rPr>
                <w:rFonts w:ascii="Arial" w:hAnsi="Arial" w:cs="Arial"/>
                <w:sz w:val="20"/>
                <w:szCs w:val="20"/>
              </w:rPr>
              <w:t xml:space="preserve"> </w:t>
            </w:r>
          </w:p>
        </w:tc>
        <w:tc>
          <w:tcPr>
            <w:tcW w:w="1252" w:type="pct"/>
            <w:shd w:val="clear" w:color="auto" w:fill="FFFFFF"/>
          </w:tcPr>
          <w:p w14:paraId="735498F1"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10</w:t>
            </w:r>
          </w:p>
        </w:tc>
        <w:tc>
          <w:tcPr>
            <w:tcW w:w="1242" w:type="pct"/>
            <w:shd w:val="clear" w:color="auto" w:fill="FFFFFF"/>
          </w:tcPr>
          <w:p w14:paraId="0F7C402D"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12</w:t>
            </w:r>
          </w:p>
        </w:tc>
      </w:tr>
      <w:tr w:rsidR="00AE0C22" w:rsidRPr="002C608D" w14:paraId="4D3DB868" w14:textId="77777777" w:rsidTr="005B5C62">
        <w:tc>
          <w:tcPr>
            <w:tcW w:w="1253" w:type="pct"/>
            <w:shd w:val="clear" w:color="auto" w:fill="FFFFFF"/>
          </w:tcPr>
          <w:p w14:paraId="7A8E1DC4" w14:textId="654AEB80" w:rsidR="00AE0C22" w:rsidRPr="002C608D" w:rsidRDefault="00AE0C22" w:rsidP="00AE0C22">
            <w:pPr>
              <w:jc w:val="both"/>
              <w:rPr>
                <w:rFonts w:ascii="Arial" w:hAnsi="Arial" w:cs="Arial"/>
                <w:sz w:val="20"/>
                <w:szCs w:val="20"/>
              </w:rPr>
            </w:pPr>
            <w:proofErr w:type="spellStart"/>
            <w:r w:rsidRPr="002C608D">
              <w:rPr>
                <w:rFonts w:ascii="Arial" w:hAnsi="Arial" w:cs="Arial"/>
                <w:sz w:val="20"/>
                <w:szCs w:val="20"/>
              </w:rPr>
              <w:t>GreenstarCDi</w:t>
            </w:r>
            <w:proofErr w:type="spellEnd"/>
            <w:r w:rsidRPr="002C608D">
              <w:rPr>
                <w:rFonts w:ascii="Arial" w:hAnsi="Arial" w:cs="Arial"/>
                <w:sz w:val="20"/>
                <w:szCs w:val="20"/>
              </w:rPr>
              <w:t>/Si Compact</w:t>
            </w:r>
          </w:p>
        </w:tc>
        <w:tc>
          <w:tcPr>
            <w:tcW w:w="1252" w:type="pct"/>
            <w:shd w:val="clear" w:color="auto" w:fill="FFFFFF"/>
          </w:tcPr>
          <w:p w14:paraId="3918DFDD" w14:textId="120E0758" w:rsidR="00AE0C22" w:rsidRPr="002C608D" w:rsidRDefault="00AE0C22" w:rsidP="00AE0C22">
            <w:pPr>
              <w:jc w:val="both"/>
              <w:rPr>
                <w:rFonts w:ascii="Arial" w:hAnsi="Arial" w:cs="Arial"/>
                <w:sz w:val="20"/>
                <w:szCs w:val="20"/>
              </w:rPr>
            </w:pPr>
            <w:r w:rsidRPr="002C608D">
              <w:rPr>
                <w:rFonts w:ascii="Arial" w:hAnsi="Arial" w:cs="Arial"/>
                <w:sz w:val="20"/>
                <w:szCs w:val="20"/>
              </w:rPr>
              <w:t>7</w:t>
            </w:r>
            <w:r>
              <w:rPr>
                <w:rFonts w:ascii="Arial" w:hAnsi="Arial" w:cs="Arial"/>
                <w:sz w:val="20"/>
                <w:szCs w:val="20"/>
              </w:rPr>
              <w:t xml:space="preserve"> </w:t>
            </w:r>
          </w:p>
        </w:tc>
        <w:tc>
          <w:tcPr>
            <w:tcW w:w="1252" w:type="pct"/>
            <w:shd w:val="clear" w:color="auto" w:fill="FFFFFF"/>
          </w:tcPr>
          <w:p w14:paraId="0A50FE46"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8</w:t>
            </w:r>
          </w:p>
        </w:tc>
        <w:tc>
          <w:tcPr>
            <w:tcW w:w="1242" w:type="pct"/>
            <w:shd w:val="clear" w:color="auto" w:fill="FFFFFF"/>
          </w:tcPr>
          <w:p w14:paraId="603786DD"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10</w:t>
            </w:r>
          </w:p>
        </w:tc>
      </w:tr>
      <w:tr w:rsidR="00AE0C22" w:rsidRPr="002C608D" w14:paraId="30A605CD" w14:textId="77777777" w:rsidTr="005B5C62">
        <w:tc>
          <w:tcPr>
            <w:tcW w:w="1253" w:type="pct"/>
            <w:shd w:val="clear" w:color="auto" w:fill="FFFFFF"/>
          </w:tcPr>
          <w:p w14:paraId="53D84BBE"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Greenstar 4000</w:t>
            </w:r>
          </w:p>
        </w:tc>
        <w:tc>
          <w:tcPr>
            <w:tcW w:w="1252" w:type="pct"/>
            <w:shd w:val="clear" w:color="auto" w:fill="FFFFFF"/>
          </w:tcPr>
          <w:p w14:paraId="2BDE8952"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7</w:t>
            </w:r>
          </w:p>
        </w:tc>
        <w:tc>
          <w:tcPr>
            <w:tcW w:w="1252" w:type="pct"/>
            <w:shd w:val="clear" w:color="auto" w:fill="FFFFFF"/>
          </w:tcPr>
          <w:p w14:paraId="1346EBB4"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8</w:t>
            </w:r>
          </w:p>
        </w:tc>
        <w:tc>
          <w:tcPr>
            <w:tcW w:w="1242" w:type="pct"/>
            <w:shd w:val="clear" w:color="auto" w:fill="FFFFFF"/>
          </w:tcPr>
          <w:p w14:paraId="22CD14DC"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10</w:t>
            </w:r>
          </w:p>
        </w:tc>
      </w:tr>
      <w:tr w:rsidR="00AE0C22" w:rsidRPr="002C608D" w14:paraId="6F908354" w14:textId="77777777" w:rsidTr="005B5C62">
        <w:tc>
          <w:tcPr>
            <w:tcW w:w="1253" w:type="pct"/>
            <w:shd w:val="clear" w:color="auto" w:fill="FFFFFF"/>
          </w:tcPr>
          <w:p w14:paraId="6C39670E"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Greenstar Ri</w:t>
            </w:r>
          </w:p>
        </w:tc>
        <w:tc>
          <w:tcPr>
            <w:tcW w:w="1252" w:type="pct"/>
            <w:shd w:val="clear" w:color="auto" w:fill="FFFFFF"/>
          </w:tcPr>
          <w:p w14:paraId="71337F44"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7</w:t>
            </w:r>
          </w:p>
        </w:tc>
        <w:tc>
          <w:tcPr>
            <w:tcW w:w="1252" w:type="pct"/>
            <w:shd w:val="clear" w:color="auto" w:fill="FFFFFF"/>
          </w:tcPr>
          <w:p w14:paraId="5FA64538"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8</w:t>
            </w:r>
          </w:p>
        </w:tc>
        <w:tc>
          <w:tcPr>
            <w:tcW w:w="1242" w:type="pct"/>
            <w:shd w:val="clear" w:color="auto" w:fill="FFFFFF"/>
          </w:tcPr>
          <w:p w14:paraId="08BA5661"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10</w:t>
            </w:r>
          </w:p>
        </w:tc>
      </w:tr>
      <w:tr w:rsidR="005B5C62" w:rsidRPr="002C608D" w14:paraId="28DA52DE" w14:textId="77777777" w:rsidTr="005B5C62">
        <w:tc>
          <w:tcPr>
            <w:tcW w:w="1253" w:type="pct"/>
            <w:shd w:val="clear" w:color="auto" w:fill="FFFFFF"/>
          </w:tcPr>
          <w:p w14:paraId="160B2148" w14:textId="77777777" w:rsidR="005B5C62" w:rsidRPr="002C608D" w:rsidRDefault="005B5C62" w:rsidP="005B5C62">
            <w:pPr>
              <w:jc w:val="both"/>
              <w:rPr>
                <w:rFonts w:ascii="Arial" w:hAnsi="Arial" w:cs="Arial"/>
                <w:sz w:val="20"/>
                <w:szCs w:val="20"/>
              </w:rPr>
            </w:pPr>
            <w:r w:rsidRPr="002C608D">
              <w:rPr>
                <w:rFonts w:ascii="Arial" w:hAnsi="Arial" w:cs="Arial"/>
                <w:sz w:val="20"/>
                <w:szCs w:val="20"/>
              </w:rPr>
              <w:t>Greenstar 2000</w:t>
            </w:r>
          </w:p>
        </w:tc>
        <w:tc>
          <w:tcPr>
            <w:tcW w:w="1252" w:type="pct"/>
            <w:shd w:val="clear" w:color="auto" w:fill="FFFFFF"/>
          </w:tcPr>
          <w:p w14:paraId="4408930F" w14:textId="655AADF6" w:rsidR="005B5C62" w:rsidRPr="002C608D" w:rsidRDefault="005B5C62" w:rsidP="005B5C62">
            <w:pPr>
              <w:jc w:val="both"/>
              <w:rPr>
                <w:rFonts w:ascii="Arial" w:hAnsi="Arial" w:cs="Arial"/>
                <w:sz w:val="20"/>
                <w:szCs w:val="20"/>
              </w:rPr>
            </w:pPr>
            <w:r>
              <w:rPr>
                <w:rFonts w:ascii="Arial" w:hAnsi="Arial" w:cs="Arial"/>
                <w:sz w:val="20"/>
                <w:szCs w:val="20"/>
              </w:rPr>
              <w:t>5 (*)</w:t>
            </w:r>
          </w:p>
        </w:tc>
        <w:tc>
          <w:tcPr>
            <w:tcW w:w="1252" w:type="pct"/>
            <w:shd w:val="clear" w:color="auto" w:fill="FFFFFF"/>
          </w:tcPr>
          <w:p w14:paraId="17FE805E" w14:textId="7AC81E6B" w:rsidR="005B5C62" w:rsidRPr="002C608D" w:rsidRDefault="005B5C62" w:rsidP="005B5C62">
            <w:pPr>
              <w:jc w:val="both"/>
              <w:rPr>
                <w:rFonts w:ascii="Arial" w:hAnsi="Arial" w:cs="Arial"/>
                <w:sz w:val="20"/>
                <w:szCs w:val="20"/>
              </w:rPr>
            </w:pPr>
            <w:r>
              <w:rPr>
                <w:rFonts w:ascii="Arial" w:hAnsi="Arial" w:cs="Arial"/>
                <w:sz w:val="20"/>
                <w:szCs w:val="20"/>
              </w:rPr>
              <w:t>6 (*)</w:t>
            </w:r>
          </w:p>
        </w:tc>
        <w:tc>
          <w:tcPr>
            <w:tcW w:w="1242" w:type="pct"/>
            <w:shd w:val="clear" w:color="auto" w:fill="FFFFFF"/>
          </w:tcPr>
          <w:p w14:paraId="198F486E" w14:textId="77777777" w:rsidR="005B5C62" w:rsidRPr="002C608D" w:rsidRDefault="005B5C62" w:rsidP="005B5C62">
            <w:pPr>
              <w:jc w:val="both"/>
              <w:rPr>
                <w:rFonts w:ascii="Arial" w:hAnsi="Arial" w:cs="Arial"/>
                <w:sz w:val="20"/>
                <w:szCs w:val="20"/>
              </w:rPr>
            </w:pPr>
            <w:r w:rsidRPr="002C608D">
              <w:rPr>
                <w:rFonts w:ascii="Arial" w:hAnsi="Arial" w:cs="Arial"/>
                <w:sz w:val="20"/>
                <w:szCs w:val="20"/>
              </w:rPr>
              <w:t>N/A</w:t>
            </w:r>
          </w:p>
        </w:tc>
      </w:tr>
      <w:tr w:rsidR="00AE0C22" w:rsidRPr="002C608D" w14:paraId="25773667" w14:textId="77777777" w:rsidTr="005B5C62">
        <w:tc>
          <w:tcPr>
            <w:tcW w:w="1253" w:type="pct"/>
            <w:shd w:val="clear" w:color="auto" w:fill="FFFFFF"/>
          </w:tcPr>
          <w:p w14:paraId="5AA9DD3F"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 xml:space="preserve">Greenstar </w:t>
            </w:r>
            <w:proofErr w:type="spellStart"/>
            <w:r w:rsidRPr="002C608D">
              <w:rPr>
                <w:rFonts w:ascii="Arial" w:hAnsi="Arial" w:cs="Arial"/>
                <w:sz w:val="20"/>
                <w:szCs w:val="20"/>
              </w:rPr>
              <w:t>Heatslave</w:t>
            </w:r>
            <w:proofErr w:type="spellEnd"/>
            <w:r w:rsidRPr="002C608D">
              <w:rPr>
                <w:rFonts w:ascii="Arial" w:hAnsi="Arial" w:cs="Arial"/>
                <w:sz w:val="20"/>
                <w:szCs w:val="20"/>
              </w:rPr>
              <w:t xml:space="preserve"> </w:t>
            </w:r>
            <w:proofErr w:type="spellStart"/>
            <w:r w:rsidRPr="002C608D">
              <w:rPr>
                <w:rFonts w:ascii="Arial" w:hAnsi="Arial" w:cs="Arial"/>
                <w:sz w:val="20"/>
                <w:szCs w:val="20"/>
              </w:rPr>
              <w:t>ll</w:t>
            </w:r>
            <w:proofErr w:type="spellEnd"/>
          </w:p>
        </w:tc>
        <w:tc>
          <w:tcPr>
            <w:tcW w:w="1252" w:type="pct"/>
            <w:shd w:val="clear" w:color="auto" w:fill="FFFFFF"/>
          </w:tcPr>
          <w:p w14:paraId="4199A87B"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2</w:t>
            </w:r>
          </w:p>
        </w:tc>
        <w:tc>
          <w:tcPr>
            <w:tcW w:w="1252" w:type="pct"/>
            <w:shd w:val="clear" w:color="auto" w:fill="FFFFFF"/>
          </w:tcPr>
          <w:p w14:paraId="3EE1546B"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5</w:t>
            </w:r>
          </w:p>
        </w:tc>
        <w:tc>
          <w:tcPr>
            <w:tcW w:w="1242" w:type="pct"/>
            <w:shd w:val="clear" w:color="auto" w:fill="FFFFFF"/>
          </w:tcPr>
          <w:p w14:paraId="65706FA0"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7</w:t>
            </w:r>
          </w:p>
        </w:tc>
      </w:tr>
      <w:tr w:rsidR="00AE0C22" w:rsidRPr="002C608D" w14:paraId="02744268" w14:textId="77777777" w:rsidTr="005B5C62">
        <w:tc>
          <w:tcPr>
            <w:tcW w:w="1253" w:type="pct"/>
            <w:shd w:val="clear" w:color="auto" w:fill="FFFFFF"/>
          </w:tcPr>
          <w:p w14:paraId="696EC8C2"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 xml:space="preserve">Greenstar </w:t>
            </w:r>
            <w:proofErr w:type="spellStart"/>
            <w:r w:rsidRPr="002C608D">
              <w:rPr>
                <w:rFonts w:ascii="Arial" w:hAnsi="Arial" w:cs="Arial"/>
                <w:sz w:val="20"/>
                <w:szCs w:val="20"/>
              </w:rPr>
              <w:t>Danesmoor</w:t>
            </w:r>
            <w:proofErr w:type="spellEnd"/>
          </w:p>
        </w:tc>
        <w:tc>
          <w:tcPr>
            <w:tcW w:w="1252" w:type="pct"/>
            <w:shd w:val="clear" w:color="auto" w:fill="FFFFFF"/>
          </w:tcPr>
          <w:p w14:paraId="5A18B548"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2</w:t>
            </w:r>
          </w:p>
        </w:tc>
        <w:tc>
          <w:tcPr>
            <w:tcW w:w="1252" w:type="pct"/>
            <w:shd w:val="clear" w:color="auto" w:fill="FFFFFF"/>
          </w:tcPr>
          <w:p w14:paraId="00EF8033"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5</w:t>
            </w:r>
          </w:p>
        </w:tc>
        <w:tc>
          <w:tcPr>
            <w:tcW w:w="1242" w:type="pct"/>
            <w:shd w:val="clear" w:color="auto" w:fill="FFFFFF"/>
          </w:tcPr>
          <w:p w14:paraId="7F15CD5C" w14:textId="77777777" w:rsidR="00AE0C22" w:rsidRPr="002C608D" w:rsidRDefault="00AE0C22" w:rsidP="00AE0C22">
            <w:pPr>
              <w:jc w:val="both"/>
              <w:rPr>
                <w:rFonts w:ascii="Arial" w:hAnsi="Arial" w:cs="Arial"/>
                <w:sz w:val="20"/>
                <w:szCs w:val="20"/>
              </w:rPr>
            </w:pPr>
            <w:r w:rsidRPr="002C608D">
              <w:rPr>
                <w:rFonts w:ascii="Arial" w:hAnsi="Arial" w:cs="Arial"/>
                <w:sz w:val="20"/>
                <w:szCs w:val="20"/>
              </w:rPr>
              <w:t>7</w:t>
            </w:r>
          </w:p>
        </w:tc>
      </w:tr>
    </w:tbl>
    <w:p w14:paraId="22D3E75A" w14:textId="4545DE41" w:rsidR="00AE0C22" w:rsidRDefault="00AE0C22" w:rsidP="00AE0C22">
      <w:pPr>
        <w:spacing w:after="120" w:line="312" w:lineRule="auto"/>
        <w:rPr>
          <w:rFonts w:ascii="Bosch Office Sans" w:hAnsi="Bosch Office Sans"/>
        </w:rPr>
      </w:pPr>
    </w:p>
    <w:p w14:paraId="7FCEB3DB" w14:textId="13C1E882" w:rsidR="00226010" w:rsidRDefault="00226010" w:rsidP="00226010">
      <w:pPr>
        <w:spacing w:after="120" w:line="312" w:lineRule="auto"/>
        <w:rPr>
          <w:rFonts w:ascii="Bosch Office Sans" w:hAnsi="Bosch Office Sans"/>
        </w:rPr>
      </w:pPr>
      <w:bookmarkStart w:id="1" w:name="_Hlk128574659"/>
      <w:r>
        <w:rPr>
          <w:rFonts w:ascii="Bosch Office Sans" w:hAnsi="Bosch Office Sans"/>
        </w:rPr>
        <w:t>(*) Greenstar 2000 boilers installed and registered in the period 1 March 2023 –</w:t>
      </w:r>
      <w:r w:rsidR="00DC50D0">
        <w:rPr>
          <w:rFonts w:ascii="Bosch Office Sans" w:hAnsi="Bosch Office Sans"/>
        </w:rPr>
        <w:t xml:space="preserve">30 September </w:t>
      </w:r>
      <w:r>
        <w:rPr>
          <w:rFonts w:ascii="Bosch Office Sans" w:hAnsi="Bosch Office Sans"/>
        </w:rPr>
        <w:t xml:space="preserve">2023 (inclusive) will qualify for a seven (7) year Standard Guarantee, and there will not be an Extended Guarantee for this product during this period under this Promotion. </w:t>
      </w:r>
      <w:bookmarkEnd w:id="1"/>
    </w:p>
    <w:p w14:paraId="246C3CDB" w14:textId="77777777" w:rsidR="005B5C62" w:rsidRPr="00AE0C22" w:rsidRDefault="005B5C62" w:rsidP="00AE0C22">
      <w:pPr>
        <w:spacing w:after="120" w:line="312" w:lineRule="auto"/>
        <w:rPr>
          <w:rFonts w:ascii="Bosch Office Sans" w:hAnsi="Bosch Office Sans"/>
        </w:rPr>
      </w:pPr>
    </w:p>
    <w:sectPr w:rsidR="005B5C62" w:rsidRPr="00AE0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sch Office Sans">
    <w:panose1 w:val="00000000000000000000"/>
    <w:charset w:val="00"/>
    <w:family w:val="auto"/>
    <w:pitch w:val="variable"/>
    <w:sig w:usb0="A00002FF" w:usb1="4000E0FB" w:usb2="00000000" w:usb3="00000000" w:csb0="0000019F" w:csb1="00000000"/>
  </w:font>
  <w:font w:name="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423"/>
    <w:multiLevelType w:val="hybridMultilevel"/>
    <w:tmpl w:val="3DF8DB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2218C"/>
    <w:multiLevelType w:val="hybridMultilevel"/>
    <w:tmpl w:val="404E429C"/>
    <w:lvl w:ilvl="0" w:tplc="5E36AB32">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 w15:restartNumberingAfterBreak="0">
    <w:nsid w:val="4B0D78BD"/>
    <w:multiLevelType w:val="hybridMultilevel"/>
    <w:tmpl w:val="83143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6F5C44"/>
    <w:multiLevelType w:val="multilevel"/>
    <w:tmpl w:val="55D0931A"/>
    <w:lvl w:ilvl="0">
      <w:start w:val="1"/>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8F3E5E"/>
    <w:multiLevelType w:val="hybridMultilevel"/>
    <w:tmpl w:val="466AA9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962D71"/>
    <w:multiLevelType w:val="hybridMultilevel"/>
    <w:tmpl w:val="95BE208A"/>
    <w:lvl w:ilvl="0" w:tplc="D31EDEF8">
      <w:start w:val="1"/>
      <w:numFmt w:val="lowerLetter"/>
      <w:lvlText w:val="%1."/>
      <w:lvlJc w:val="left"/>
      <w:pPr>
        <w:ind w:left="1275" w:hanging="55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84572305">
    <w:abstractNumId w:val="0"/>
  </w:num>
  <w:num w:numId="2" w16cid:durableId="1791321331">
    <w:abstractNumId w:val="2"/>
  </w:num>
  <w:num w:numId="3" w16cid:durableId="1397822670">
    <w:abstractNumId w:val="4"/>
  </w:num>
  <w:num w:numId="4" w16cid:durableId="255212552">
    <w:abstractNumId w:val="5"/>
  </w:num>
  <w:num w:numId="5" w16cid:durableId="233979950">
    <w:abstractNumId w:val="1"/>
  </w:num>
  <w:num w:numId="6" w16cid:durableId="2047750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7C"/>
    <w:rsid w:val="00020BE0"/>
    <w:rsid w:val="0003017C"/>
    <w:rsid w:val="000748C4"/>
    <w:rsid w:val="000E69DC"/>
    <w:rsid w:val="00123FA8"/>
    <w:rsid w:val="00166173"/>
    <w:rsid w:val="00166DDC"/>
    <w:rsid w:val="00191464"/>
    <w:rsid w:val="001C4235"/>
    <w:rsid w:val="001E1BFD"/>
    <w:rsid w:val="001E4035"/>
    <w:rsid w:val="00213DAA"/>
    <w:rsid w:val="00223FC0"/>
    <w:rsid w:val="00226010"/>
    <w:rsid w:val="00264AA8"/>
    <w:rsid w:val="00267EF3"/>
    <w:rsid w:val="002D3316"/>
    <w:rsid w:val="002E2FC9"/>
    <w:rsid w:val="00337104"/>
    <w:rsid w:val="0049572E"/>
    <w:rsid w:val="004B4DC4"/>
    <w:rsid w:val="004B7748"/>
    <w:rsid w:val="004E38D1"/>
    <w:rsid w:val="00520881"/>
    <w:rsid w:val="005360E6"/>
    <w:rsid w:val="00556058"/>
    <w:rsid w:val="0056764B"/>
    <w:rsid w:val="005A0B11"/>
    <w:rsid w:val="005B5C62"/>
    <w:rsid w:val="005F61C6"/>
    <w:rsid w:val="006156C2"/>
    <w:rsid w:val="00632301"/>
    <w:rsid w:val="0063746F"/>
    <w:rsid w:val="00644C1A"/>
    <w:rsid w:val="00686211"/>
    <w:rsid w:val="006964F1"/>
    <w:rsid w:val="00737012"/>
    <w:rsid w:val="00750B2C"/>
    <w:rsid w:val="00770C2F"/>
    <w:rsid w:val="00777DAA"/>
    <w:rsid w:val="00784D13"/>
    <w:rsid w:val="007D6DA5"/>
    <w:rsid w:val="007F2A07"/>
    <w:rsid w:val="00806EC9"/>
    <w:rsid w:val="008A0F1D"/>
    <w:rsid w:val="008A6694"/>
    <w:rsid w:val="008C3A09"/>
    <w:rsid w:val="008D567A"/>
    <w:rsid w:val="008E136E"/>
    <w:rsid w:val="00944632"/>
    <w:rsid w:val="0097783B"/>
    <w:rsid w:val="009A449E"/>
    <w:rsid w:val="00A211D6"/>
    <w:rsid w:val="00A25465"/>
    <w:rsid w:val="00A52EC6"/>
    <w:rsid w:val="00A569F7"/>
    <w:rsid w:val="00A80CE8"/>
    <w:rsid w:val="00A94CE7"/>
    <w:rsid w:val="00A9718E"/>
    <w:rsid w:val="00AC0F61"/>
    <w:rsid w:val="00AE0C22"/>
    <w:rsid w:val="00AE2F3C"/>
    <w:rsid w:val="00B6060A"/>
    <w:rsid w:val="00B90969"/>
    <w:rsid w:val="00BA25C9"/>
    <w:rsid w:val="00BA7F14"/>
    <w:rsid w:val="00BB3647"/>
    <w:rsid w:val="00BE34EB"/>
    <w:rsid w:val="00C743B0"/>
    <w:rsid w:val="00C82377"/>
    <w:rsid w:val="00CC5672"/>
    <w:rsid w:val="00D766D0"/>
    <w:rsid w:val="00DC50D0"/>
    <w:rsid w:val="00DF29EF"/>
    <w:rsid w:val="00E040D7"/>
    <w:rsid w:val="00E76381"/>
    <w:rsid w:val="00E95911"/>
    <w:rsid w:val="00ED40E7"/>
    <w:rsid w:val="00EE5E03"/>
    <w:rsid w:val="00F12790"/>
    <w:rsid w:val="00F53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6A1"/>
  <w15:chartTrackingRefBased/>
  <w15:docId w15:val="{FE324CD9-9949-48E5-8447-522902ED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9E"/>
    <w:pPr>
      <w:ind w:left="720"/>
      <w:contextualSpacing/>
    </w:pPr>
  </w:style>
  <w:style w:type="character" w:styleId="CommentReference">
    <w:name w:val="annotation reference"/>
    <w:basedOn w:val="DefaultParagraphFont"/>
    <w:uiPriority w:val="99"/>
    <w:semiHidden/>
    <w:unhideWhenUsed/>
    <w:rsid w:val="008A6694"/>
    <w:rPr>
      <w:sz w:val="16"/>
      <w:szCs w:val="16"/>
    </w:rPr>
  </w:style>
  <w:style w:type="paragraph" w:styleId="CommentText">
    <w:name w:val="annotation text"/>
    <w:basedOn w:val="Normal"/>
    <w:link w:val="CommentTextChar"/>
    <w:uiPriority w:val="99"/>
    <w:semiHidden/>
    <w:unhideWhenUsed/>
    <w:rsid w:val="008A6694"/>
    <w:pPr>
      <w:spacing w:line="240" w:lineRule="auto"/>
    </w:pPr>
    <w:rPr>
      <w:sz w:val="20"/>
      <w:szCs w:val="20"/>
    </w:rPr>
  </w:style>
  <w:style w:type="character" w:customStyle="1" w:styleId="CommentTextChar">
    <w:name w:val="Comment Text Char"/>
    <w:basedOn w:val="DefaultParagraphFont"/>
    <w:link w:val="CommentText"/>
    <w:uiPriority w:val="99"/>
    <w:semiHidden/>
    <w:rsid w:val="008A6694"/>
    <w:rPr>
      <w:sz w:val="20"/>
      <w:szCs w:val="20"/>
    </w:rPr>
  </w:style>
  <w:style w:type="paragraph" w:styleId="CommentSubject">
    <w:name w:val="annotation subject"/>
    <w:basedOn w:val="CommentText"/>
    <w:next w:val="CommentText"/>
    <w:link w:val="CommentSubjectChar"/>
    <w:uiPriority w:val="99"/>
    <w:semiHidden/>
    <w:unhideWhenUsed/>
    <w:rsid w:val="008A6694"/>
    <w:rPr>
      <w:b/>
      <w:bCs/>
    </w:rPr>
  </w:style>
  <w:style w:type="character" w:customStyle="1" w:styleId="CommentSubjectChar">
    <w:name w:val="Comment Subject Char"/>
    <w:basedOn w:val="CommentTextChar"/>
    <w:link w:val="CommentSubject"/>
    <w:uiPriority w:val="99"/>
    <w:semiHidden/>
    <w:rsid w:val="008A6694"/>
    <w:rPr>
      <w:b/>
      <w:bCs/>
      <w:sz w:val="20"/>
      <w:szCs w:val="20"/>
    </w:rPr>
  </w:style>
  <w:style w:type="paragraph" w:styleId="BalloonText">
    <w:name w:val="Balloon Text"/>
    <w:basedOn w:val="Normal"/>
    <w:link w:val="BalloonTextChar"/>
    <w:uiPriority w:val="99"/>
    <w:semiHidden/>
    <w:unhideWhenUsed/>
    <w:rsid w:val="008A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94"/>
    <w:rPr>
      <w:rFonts w:ascii="Segoe UI" w:hAnsi="Segoe UI" w:cs="Segoe UI"/>
      <w:sz w:val="18"/>
      <w:szCs w:val="18"/>
    </w:rPr>
  </w:style>
  <w:style w:type="character" w:styleId="Hyperlink">
    <w:name w:val="Hyperlink"/>
    <w:basedOn w:val="DefaultParagraphFont"/>
    <w:uiPriority w:val="99"/>
    <w:unhideWhenUsed/>
    <w:rsid w:val="00166DDC"/>
    <w:rPr>
      <w:color w:val="0563C1" w:themeColor="hyperlink"/>
      <w:u w:val="single"/>
    </w:rPr>
  </w:style>
  <w:style w:type="character" w:styleId="UnresolvedMention">
    <w:name w:val="Unresolved Mention"/>
    <w:basedOn w:val="DefaultParagraphFont"/>
    <w:uiPriority w:val="99"/>
    <w:semiHidden/>
    <w:unhideWhenUsed/>
    <w:rsid w:val="00AE0C22"/>
    <w:rPr>
      <w:color w:val="605E5C"/>
      <w:shd w:val="clear" w:color="auto" w:fill="E1DFDD"/>
    </w:rPr>
  </w:style>
  <w:style w:type="paragraph" w:styleId="Revision">
    <w:name w:val="Revision"/>
    <w:hidden/>
    <w:uiPriority w:val="99"/>
    <w:semiHidden/>
    <w:rsid w:val="00DC50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3654">
      <w:bodyDiv w:val="1"/>
      <w:marLeft w:val="0"/>
      <w:marRight w:val="0"/>
      <w:marTop w:val="0"/>
      <w:marBottom w:val="0"/>
      <w:divBdr>
        <w:top w:val="none" w:sz="0" w:space="0" w:color="auto"/>
        <w:left w:val="none" w:sz="0" w:space="0" w:color="auto"/>
        <w:bottom w:val="none" w:sz="0" w:space="0" w:color="auto"/>
        <w:right w:val="none" w:sz="0" w:space="0" w:color="auto"/>
      </w:divBdr>
    </w:div>
    <w:div w:id="411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w-policy.ttprivacy.com/b801db4e-96cb-49f1-9ed2-d977ceb23278" TargetMode="External"/><Relationship Id="rId3" Type="http://schemas.openxmlformats.org/officeDocument/2006/relationships/settings" Target="settings.xml"/><Relationship Id="rId7" Type="http://schemas.openxmlformats.org/officeDocument/2006/relationships/hyperlink" Target="mailto:Marketing.Wo@uk.bos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fi3wzl\AppData\Local\Microsoft\Windows\INetCache\Content.Outlook\SAXQ0W5M\worcester-bosch.co.uk\login" TargetMode="External"/><Relationship Id="rId5" Type="http://schemas.openxmlformats.org/officeDocument/2006/relationships/hyperlink" Target="https://www.worcester-bosch.co.uk/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FIXED-TERM Campbell Lydia (TT/SGB-MKT1-D)</dc:creator>
  <cp:keywords/>
  <dc:description/>
  <cp:lastModifiedBy>Clayton Bethany (HC/SGB-MK3)</cp:lastModifiedBy>
  <cp:revision>2</cp:revision>
  <cp:lastPrinted>2023-03-02T10:27:00Z</cp:lastPrinted>
  <dcterms:created xsi:type="dcterms:W3CDTF">2024-01-12T12:38:00Z</dcterms:created>
  <dcterms:modified xsi:type="dcterms:W3CDTF">2024-01-12T12:38:00Z</dcterms:modified>
</cp:coreProperties>
</file>